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C001" w14:textId="4C095D71" w:rsidR="00AB1C5F" w:rsidRPr="00AB1C5F" w:rsidRDefault="00AB1C5F" w:rsidP="00E831AB">
      <w:pPr>
        <w:spacing w:after="0" w:line="240" w:lineRule="auto"/>
        <w:outlineLvl w:val="2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E529783" wp14:editId="3E1AF153">
            <wp:simplePos x="0" y="0"/>
            <wp:positionH relativeFrom="margin">
              <wp:align>left</wp:align>
            </wp:positionH>
            <wp:positionV relativeFrom="margin">
              <wp:posOffset>-388620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0D44A8" w14:textId="77777777" w:rsidR="00AB1C5F" w:rsidRPr="00AB1C5F" w:rsidRDefault="00AB1C5F" w:rsidP="00E831AB">
      <w:pPr>
        <w:spacing w:after="0" w:line="240" w:lineRule="auto"/>
        <w:outlineLvl w:val="2"/>
        <w:rPr>
          <w:rFonts w:ascii="Amasis MT Pro" w:eastAsia="Times New Roman" w:hAnsi="Amasis MT Pro" w:cs="Times New Roman"/>
          <w:b/>
          <w:bCs/>
          <w:lang w:val="en-US" w:eastAsia="fr-FR"/>
        </w:rPr>
      </w:pPr>
    </w:p>
    <w:p w14:paraId="3C00E209" w14:textId="6F86A8F9" w:rsidR="00AB1C5F" w:rsidRPr="00AB1C5F" w:rsidRDefault="00AB1C5F" w:rsidP="00E831AB">
      <w:pPr>
        <w:spacing w:after="0" w:line="240" w:lineRule="auto"/>
        <w:outlineLvl w:val="2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6409</w:t>
      </w:r>
    </w:p>
    <w:p w14:paraId="68B516A4" w14:textId="77777777" w:rsidR="00AB1C5F" w:rsidRPr="00AB1C5F" w:rsidRDefault="00AB1C5F" w:rsidP="00E831AB">
      <w:pPr>
        <w:spacing w:after="0" w:line="240" w:lineRule="auto"/>
        <w:outlineLvl w:val="2"/>
        <w:rPr>
          <w:rFonts w:ascii="Amasis MT Pro" w:eastAsia="Times New Roman" w:hAnsi="Amasis MT Pro" w:cs="Times New Roman"/>
          <w:b/>
          <w:bCs/>
          <w:lang w:val="en-US" w:eastAsia="fr-FR"/>
        </w:rPr>
      </w:pPr>
    </w:p>
    <w:p w14:paraId="1189C7B9" w14:textId="08EC34DF" w:rsidR="00A25045" w:rsidRPr="00AB1C5F" w:rsidRDefault="00A25045" w:rsidP="00E831AB">
      <w:pPr>
        <w:spacing w:after="0" w:line="240" w:lineRule="auto"/>
        <w:outlineLvl w:val="2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Abstract – ARLAR 2025</w:t>
      </w:r>
    </w:p>
    <w:p w14:paraId="6DBFAC71" w14:textId="27BFB569" w:rsidR="00AF4BD3" w:rsidRPr="00AB1C5F" w:rsidRDefault="00AF4BD3" w:rsidP="00E831AB">
      <w:pPr>
        <w:spacing w:after="0" w:line="240" w:lineRule="auto"/>
        <w:rPr>
          <w:rFonts w:ascii="Amasis MT Pro" w:eastAsia="Times New Roman" w:hAnsi="Amasis MT Pro" w:cs="Times New Roman"/>
          <w:b/>
          <w:bCs/>
          <w:lang w:val="en-US" w:eastAsia="fr-FR"/>
        </w:rPr>
      </w:pPr>
      <w:proofErr w:type="gramStart"/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D</w:t>
      </w:r>
      <w:r w:rsidR="00E831AB" w:rsidRPr="00AB1C5F">
        <w:rPr>
          <w:rFonts w:ascii="Amasis MT Pro" w:eastAsia="Times New Roman" w:hAnsi="Amasis MT Pro" w:cs="Times New Roman"/>
          <w:b/>
          <w:bCs/>
          <w:lang w:val="en-US" w:eastAsia="fr-FR"/>
        </w:rPr>
        <w:t xml:space="preserve">EVELOPMENT </w:t>
      </w: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 xml:space="preserve"> </w:t>
      </w:r>
      <w:r w:rsidR="00E831AB"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OF</w:t>
      </w:r>
      <w:proofErr w:type="gramEnd"/>
      <w:r w:rsidR="00E831AB" w:rsidRPr="00AB1C5F">
        <w:rPr>
          <w:rFonts w:ascii="Amasis MT Pro" w:eastAsia="Times New Roman" w:hAnsi="Amasis MT Pro" w:cs="Times New Roman"/>
          <w:b/>
          <w:bCs/>
          <w:lang w:val="en-US" w:eastAsia="fr-FR"/>
        </w:rPr>
        <w:t xml:space="preserve"> MYASTHENIA GRAVIS IN PATIENT WITH SYSTEMIC LUPUS</w:t>
      </w:r>
      <w:r w:rsidR="00E831AB" w:rsidRPr="00AB1C5F">
        <w:rPr>
          <w:rFonts w:ascii="Amasis MT Pro" w:hAnsi="Amasis MT Pro"/>
          <w:color w:val="404040"/>
          <w:lang w:val="en-US"/>
        </w:rPr>
        <w:t xml:space="preserve"> </w:t>
      </w:r>
      <w:r w:rsidR="002241B3" w:rsidRPr="00AB1C5F">
        <w:rPr>
          <w:rStyle w:val="Strong"/>
          <w:rFonts w:ascii="Amasis MT Pro" w:hAnsi="Amasis MT Pro" w:cs="Times New Roman"/>
          <w:color w:val="404040"/>
          <w:lang w:val="en-US"/>
        </w:rPr>
        <w:t>ERYTHEMATOSUS</w:t>
      </w:r>
      <w:r w:rsidR="00E831AB" w:rsidRPr="00AB1C5F">
        <w:rPr>
          <w:rStyle w:val="Strong"/>
          <w:rFonts w:ascii="Amasis MT Pro" w:hAnsi="Amasis MT Pro" w:cs="Times New Roman"/>
          <w:color w:val="404040"/>
          <w:lang w:val="en-US"/>
        </w:rPr>
        <w:t xml:space="preserve"> </w:t>
      </w: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: A Rare Association</w:t>
      </w:r>
    </w:p>
    <w:p w14:paraId="6D4759A4" w14:textId="139CFDA3" w:rsidR="00A25045" w:rsidRPr="00AB1C5F" w:rsidRDefault="00A25045" w:rsidP="00E831AB">
      <w:pPr>
        <w:spacing w:after="0" w:line="240" w:lineRule="auto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N.I. KANOUN, N. KHALDOUN</w:t>
      </w:r>
      <w:r w:rsidR="00E831AB" w:rsidRPr="00AB1C5F">
        <w:rPr>
          <w:rFonts w:ascii="Amasis MT Pro" w:eastAsia="Times New Roman" w:hAnsi="Amasis MT Pro" w:cs="Times New Roman"/>
          <w:b/>
          <w:bCs/>
          <w:lang w:val="en-US" w:eastAsia="fr-FR"/>
        </w:rPr>
        <w:t xml:space="preserve">, </w:t>
      </w:r>
      <w:proofErr w:type="gramStart"/>
      <w:r w:rsidR="00E831AB"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F.HANNI</w:t>
      </w:r>
      <w:proofErr w:type="gramEnd"/>
      <w:r w:rsidRPr="00AB1C5F">
        <w:rPr>
          <w:rFonts w:ascii="Amasis MT Pro" w:eastAsia="Times New Roman" w:hAnsi="Amasis MT Pro" w:cs="Times New Roman"/>
          <w:lang w:val="en-US" w:eastAsia="fr-FR"/>
        </w:rPr>
        <w:br/>
      </w:r>
      <w:r w:rsidRPr="00AB1C5F">
        <w:rPr>
          <w:rFonts w:ascii="Amasis MT Pro" w:eastAsia="Times New Roman" w:hAnsi="Amasis MT Pro" w:cs="Times New Roman"/>
          <w:i/>
          <w:iCs/>
          <w:lang w:val="en-US" w:eastAsia="fr-FR"/>
        </w:rPr>
        <w:t>Department of Rheumatology, [</w:t>
      </w:r>
      <w:r w:rsidR="00F37C5A" w:rsidRPr="00AB1C5F">
        <w:rPr>
          <w:rFonts w:ascii="Amasis MT Pro" w:eastAsia="Times New Roman" w:hAnsi="Amasis MT Pro" w:cs="Times New Roman"/>
          <w:i/>
          <w:iCs/>
          <w:lang w:val="en-US" w:eastAsia="fr-FR"/>
        </w:rPr>
        <w:t xml:space="preserve"> benaknoun hospital], [algiers,algeria</w:t>
      </w:r>
      <w:r w:rsidRPr="00AB1C5F">
        <w:rPr>
          <w:rFonts w:ascii="Amasis MT Pro" w:eastAsia="Times New Roman" w:hAnsi="Amasis MT Pro" w:cs="Times New Roman"/>
          <w:i/>
          <w:iCs/>
          <w:lang w:val="en-US" w:eastAsia="fr-FR"/>
        </w:rPr>
        <w:t>]</w:t>
      </w:r>
    </w:p>
    <w:p w14:paraId="0C90F462" w14:textId="77777777" w:rsidR="00AB1C5F" w:rsidRDefault="00AB1C5F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</w:p>
    <w:p w14:paraId="6546ECAD" w14:textId="6807C156" w:rsidR="00A25045" w:rsidRPr="00AB1C5F" w:rsidRDefault="00A25045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Introduction</w:t>
      </w:r>
    </w:p>
    <w:p w14:paraId="6CF28BAD" w14:textId="028D6873" w:rsidR="00DA50A8" w:rsidRPr="00AB1C5F" w:rsidRDefault="00A25045" w:rsidP="00E831AB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 xml:space="preserve">Systemic lupus erythematosus (SLE) is an autoimmune disease that can affect the central and peripheral nervous </w:t>
      </w:r>
      <w:r w:rsidR="00E831AB" w:rsidRPr="00AB1C5F">
        <w:rPr>
          <w:rFonts w:ascii="Amasis MT Pro" w:eastAsia="Times New Roman" w:hAnsi="Amasis MT Pro" w:cs="Times New Roman"/>
          <w:lang w:val="en-US" w:eastAsia="fr-FR"/>
        </w:rPr>
        <w:t>systems, particularly through cerebral vasculitis. Myasthenia gravis (MG) is a neuromuscular autoimmune disorder caused by autoantibodies targeting the neuromuscular junction (AM). The coexistence of these two conditions is rare and poses significant diagnostic and therapeutic challenges.</w:t>
      </w:r>
    </w:p>
    <w:p w14:paraId="2FE55C17" w14:textId="77777777" w:rsidR="00A25045" w:rsidRPr="00AB1C5F" w:rsidRDefault="00A25045" w:rsidP="00E831AB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>We present a case illustrating this clinical and diagnostic complexity.</w:t>
      </w:r>
    </w:p>
    <w:p w14:paraId="75C777FB" w14:textId="77777777" w:rsidR="00AB1C5F" w:rsidRDefault="00AB1C5F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</w:p>
    <w:p w14:paraId="0D0ABBF2" w14:textId="2FFC1BE9" w:rsidR="00A25045" w:rsidRPr="00AB1C5F" w:rsidRDefault="00A25045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Objective</w:t>
      </w:r>
    </w:p>
    <w:p w14:paraId="6FD8E15E" w14:textId="77777777" w:rsidR="00DA50A8" w:rsidRPr="00AB1C5F" w:rsidRDefault="00DA50A8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>This case aims to illustrate the complexity and clinical implications of the development of MG in a patient with SLE.</w:t>
      </w:r>
    </w:p>
    <w:p w14:paraId="05FC1770" w14:textId="77777777" w:rsidR="00AB1C5F" w:rsidRDefault="00AB1C5F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</w:p>
    <w:p w14:paraId="6E4AC4AA" w14:textId="0052DD2F" w:rsidR="00A25045" w:rsidRPr="00AB1C5F" w:rsidRDefault="00AF4BD3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 xml:space="preserve">Methods </w:t>
      </w:r>
    </w:p>
    <w:p w14:paraId="45678ECA" w14:textId="77777777" w:rsidR="00A25045" w:rsidRPr="00AB1C5F" w:rsidRDefault="00A25045" w:rsidP="00E831AB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 xml:space="preserve">A </w:t>
      </w: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36-year-old female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 with </w:t>
      </w: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active SLE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 (cutaneous, articular, pleuritic, and pericardial involvement) on hydroxychloroquine and immunosuppressants.</w:t>
      </w:r>
    </w:p>
    <w:p w14:paraId="2D21E6F2" w14:textId="10F2832F" w:rsidR="00A25045" w:rsidRPr="00AB1C5F" w:rsidRDefault="00A25045" w:rsidP="00EB3E64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 xml:space="preserve">In </w:t>
      </w: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2022</w:t>
      </w:r>
      <w:r w:rsidRPr="00AB1C5F">
        <w:rPr>
          <w:rFonts w:ascii="Amasis MT Pro" w:eastAsia="Times New Roman" w:hAnsi="Amasis MT Pro" w:cs="Times New Roman"/>
          <w:lang w:val="en-US" w:eastAsia="fr-FR"/>
        </w:rPr>
        <w:t>, she developed progressive neuromuscular symptoms:</w:t>
      </w:r>
      <w:r w:rsidR="00EB3E64" w:rsidRPr="00AB1C5F">
        <w:rPr>
          <w:rFonts w:ascii="Amasis MT Pro" w:eastAsia="Times New Roman" w:hAnsi="Amasis MT Pro" w:cs="Times New Roman"/>
          <w:lang w:val="en-US" w:eastAsia="fr-FR"/>
        </w:rPr>
        <w:t xml:space="preserve"> </w:t>
      </w:r>
      <w:r w:rsidRPr="00AB1C5F">
        <w:rPr>
          <w:rFonts w:ascii="Amasis MT Pro" w:eastAsia="Times New Roman" w:hAnsi="Amasis MT Pro" w:cs="Times New Roman"/>
          <w:bCs/>
          <w:lang w:val="en-US" w:eastAsia="fr-FR"/>
        </w:rPr>
        <w:t>Bilateral asymmetric ptosis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, worsened by the </w:t>
      </w:r>
      <w:r w:rsidRPr="00AB1C5F">
        <w:rPr>
          <w:rFonts w:ascii="Amasis MT Pro" w:eastAsia="Times New Roman" w:hAnsi="Amasis MT Pro" w:cs="Times New Roman"/>
          <w:bCs/>
          <w:lang w:val="en-US" w:eastAsia="fr-FR"/>
        </w:rPr>
        <w:t>Marie Walker test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, improved by the </w:t>
      </w:r>
      <w:r w:rsidRPr="00AB1C5F">
        <w:rPr>
          <w:rFonts w:ascii="Amasis MT Pro" w:eastAsia="Times New Roman" w:hAnsi="Amasis MT Pro" w:cs="Times New Roman"/>
          <w:bCs/>
          <w:lang w:val="en-US" w:eastAsia="fr-FR"/>
        </w:rPr>
        <w:t>ice pack test</w:t>
      </w:r>
      <w:r w:rsidR="00EB3E64" w:rsidRPr="00AB1C5F">
        <w:rPr>
          <w:rFonts w:ascii="Amasis MT Pro" w:eastAsia="Times New Roman" w:hAnsi="Amasis MT Pro" w:cs="Times New Roman"/>
          <w:lang w:val="en-US" w:eastAsia="fr-FR"/>
        </w:rPr>
        <w:t xml:space="preserve"> </w:t>
      </w:r>
      <w:r w:rsidRPr="00AB1C5F">
        <w:rPr>
          <w:rFonts w:ascii="Amasis MT Pro" w:eastAsia="Times New Roman" w:hAnsi="Amasis MT Pro" w:cs="Times New Roman"/>
          <w:bCs/>
          <w:lang w:eastAsia="fr-FR"/>
        </w:rPr>
        <w:t xml:space="preserve">Vertical </w:t>
      </w:r>
      <w:proofErr w:type="spellStart"/>
      <w:r w:rsidRPr="00AB1C5F">
        <w:rPr>
          <w:rFonts w:ascii="Amasis MT Pro" w:eastAsia="Times New Roman" w:hAnsi="Amasis MT Pro" w:cs="Times New Roman"/>
          <w:bCs/>
          <w:lang w:eastAsia="fr-FR"/>
        </w:rPr>
        <w:t>binocular</w:t>
      </w:r>
      <w:proofErr w:type="spellEnd"/>
      <w:r w:rsidRPr="00AB1C5F">
        <w:rPr>
          <w:rFonts w:ascii="Amasis MT Pro" w:eastAsia="Times New Roman" w:hAnsi="Amasis MT Pro" w:cs="Times New Roman"/>
          <w:bCs/>
          <w:lang w:eastAsia="fr-FR"/>
        </w:rPr>
        <w:t xml:space="preserve"> </w:t>
      </w:r>
      <w:proofErr w:type="spellStart"/>
      <w:r w:rsidRPr="00AB1C5F">
        <w:rPr>
          <w:rFonts w:ascii="Amasis MT Pro" w:eastAsia="Times New Roman" w:hAnsi="Amasis MT Pro" w:cs="Times New Roman"/>
          <w:bCs/>
          <w:lang w:eastAsia="fr-FR"/>
        </w:rPr>
        <w:t>diplopia</w:t>
      </w:r>
      <w:proofErr w:type="spellEnd"/>
    </w:p>
    <w:p w14:paraId="5FC6E7EB" w14:textId="2A3AD078" w:rsidR="00A25045" w:rsidRPr="00AB1C5F" w:rsidRDefault="00A25045" w:rsidP="008D70F1">
      <w:pPr>
        <w:spacing w:after="0" w:line="240" w:lineRule="auto"/>
        <w:rPr>
          <w:rFonts w:ascii="Amasis MT Pro" w:eastAsia="Times New Roman" w:hAnsi="Amasis MT Pro" w:cs="Times New Roman"/>
          <w:lang w:eastAsia="fr-FR"/>
        </w:rPr>
      </w:pPr>
      <w:r w:rsidRPr="00AB1C5F">
        <w:rPr>
          <w:rFonts w:ascii="Amasis MT Pro" w:eastAsia="Times New Roman" w:hAnsi="Amasis MT Pro" w:cs="Times New Roman"/>
          <w:bCs/>
          <w:lang w:eastAsia="fr-FR"/>
        </w:rPr>
        <w:t xml:space="preserve">Global limitation of </w:t>
      </w:r>
      <w:proofErr w:type="spellStart"/>
      <w:r w:rsidRPr="00AB1C5F">
        <w:rPr>
          <w:rFonts w:ascii="Amasis MT Pro" w:eastAsia="Times New Roman" w:hAnsi="Amasis MT Pro" w:cs="Times New Roman"/>
          <w:bCs/>
          <w:lang w:eastAsia="fr-FR"/>
        </w:rPr>
        <w:t>extraocular</w:t>
      </w:r>
      <w:proofErr w:type="spellEnd"/>
      <w:r w:rsidRPr="00AB1C5F">
        <w:rPr>
          <w:rFonts w:ascii="Amasis MT Pro" w:eastAsia="Times New Roman" w:hAnsi="Amasis MT Pro" w:cs="Times New Roman"/>
          <w:bCs/>
          <w:lang w:eastAsia="fr-FR"/>
        </w:rPr>
        <w:t xml:space="preserve"> </w:t>
      </w:r>
      <w:proofErr w:type="spellStart"/>
      <w:r w:rsidRPr="00AB1C5F">
        <w:rPr>
          <w:rFonts w:ascii="Amasis MT Pro" w:eastAsia="Times New Roman" w:hAnsi="Amasis MT Pro" w:cs="Times New Roman"/>
          <w:bCs/>
          <w:lang w:eastAsia="fr-FR"/>
        </w:rPr>
        <w:t>movements</w:t>
      </w:r>
      <w:proofErr w:type="spellEnd"/>
      <w:r w:rsidR="008D70F1" w:rsidRPr="00AB1C5F">
        <w:rPr>
          <w:rFonts w:ascii="Amasis MT Pro" w:eastAsia="Times New Roman" w:hAnsi="Amasis MT Pro" w:cs="Times New Roman"/>
          <w:lang w:eastAsia="fr-FR"/>
        </w:rPr>
        <w:t xml:space="preserve">, </w:t>
      </w:r>
      <w:proofErr w:type="spellStart"/>
      <w:r w:rsidR="0048290A" w:rsidRPr="00AB1C5F">
        <w:rPr>
          <w:rFonts w:ascii="Amasis MT Pro" w:eastAsia="Times New Roman" w:hAnsi="Amasis MT Pro" w:cs="Times New Roman"/>
          <w:bCs/>
          <w:lang w:eastAsia="fr-FR"/>
        </w:rPr>
        <w:t>Reduced</w:t>
      </w:r>
      <w:proofErr w:type="spellEnd"/>
      <w:r w:rsidR="0048290A" w:rsidRPr="00AB1C5F">
        <w:rPr>
          <w:rFonts w:ascii="Amasis MT Pro" w:eastAsia="Times New Roman" w:hAnsi="Amasis MT Pro" w:cs="Times New Roman"/>
          <w:bCs/>
          <w:lang w:eastAsia="fr-FR"/>
        </w:rPr>
        <w:t xml:space="preserve"> </w:t>
      </w:r>
      <w:proofErr w:type="spellStart"/>
      <w:r w:rsidR="0048290A" w:rsidRPr="00AB1C5F">
        <w:rPr>
          <w:rFonts w:ascii="Amasis MT Pro" w:eastAsia="Times New Roman" w:hAnsi="Amasis MT Pro" w:cs="Times New Roman"/>
          <w:bCs/>
          <w:lang w:eastAsia="fr-FR"/>
        </w:rPr>
        <w:t>eyelid</w:t>
      </w:r>
      <w:proofErr w:type="spellEnd"/>
      <w:r w:rsidR="0048290A" w:rsidRPr="00AB1C5F">
        <w:rPr>
          <w:rFonts w:ascii="Amasis MT Pro" w:eastAsia="Times New Roman" w:hAnsi="Amasis MT Pro" w:cs="Times New Roman"/>
          <w:bCs/>
          <w:lang w:eastAsia="fr-FR"/>
        </w:rPr>
        <w:t xml:space="preserve"> </w:t>
      </w:r>
      <w:proofErr w:type="spellStart"/>
      <w:r w:rsidR="0048290A" w:rsidRPr="00AB1C5F">
        <w:rPr>
          <w:rFonts w:ascii="Amasis MT Pro" w:eastAsia="Times New Roman" w:hAnsi="Amasis MT Pro" w:cs="Times New Roman"/>
          <w:bCs/>
          <w:lang w:eastAsia="fr-FR"/>
        </w:rPr>
        <w:t>closure</w:t>
      </w:r>
      <w:proofErr w:type="spellEnd"/>
      <w:r w:rsidR="008D70F1" w:rsidRPr="00AB1C5F">
        <w:rPr>
          <w:rFonts w:ascii="Amasis MT Pro" w:eastAsia="Times New Roman" w:hAnsi="Amasis MT Pro" w:cs="Times New Roman"/>
          <w:bCs/>
          <w:lang w:eastAsia="fr-FR"/>
        </w:rPr>
        <w:t xml:space="preserve">, </w:t>
      </w:r>
      <w:r w:rsidRPr="00AB1C5F">
        <w:rPr>
          <w:rFonts w:ascii="Amasis MT Pro" w:eastAsia="Times New Roman" w:hAnsi="Amasis MT Pro" w:cs="Times New Roman"/>
          <w:bCs/>
          <w:lang w:eastAsia="fr-FR"/>
        </w:rPr>
        <w:t>Proximal muscle fatigue</w:t>
      </w:r>
    </w:p>
    <w:p w14:paraId="4FCC52C6" w14:textId="77777777" w:rsidR="00AB1C5F" w:rsidRDefault="00AB1C5F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eastAsia="fr-FR"/>
        </w:rPr>
      </w:pPr>
    </w:p>
    <w:p w14:paraId="6CBC1CBA" w14:textId="331BE27B" w:rsidR="00A25045" w:rsidRPr="00AB1C5F" w:rsidRDefault="00A25045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eastAsia="fr-FR"/>
        </w:rPr>
      </w:pPr>
      <w:proofErr w:type="spellStart"/>
      <w:r w:rsidRPr="00AB1C5F">
        <w:rPr>
          <w:rFonts w:ascii="Amasis MT Pro" w:eastAsia="Times New Roman" w:hAnsi="Amasis MT Pro" w:cs="Times New Roman"/>
          <w:b/>
          <w:bCs/>
          <w:lang w:eastAsia="fr-FR"/>
        </w:rPr>
        <w:t>Results</w:t>
      </w:r>
      <w:proofErr w:type="spellEnd"/>
      <w:r w:rsidRPr="00AB1C5F">
        <w:rPr>
          <w:rFonts w:ascii="Amasis MT Pro" w:eastAsia="Times New Roman" w:hAnsi="Amasis MT Pro" w:cs="Times New Roman"/>
          <w:b/>
          <w:bCs/>
          <w:lang w:eastAsia="fr-FR"/>
        </w:rPr>
        <w:t xml:space="preserve"> </w:t>
      </w:r>
    </w:p>
    <w:p w14:paraId="07A6FD2A" w14:textId="62B0CA8E" w:rsidR="0048290A" w:rsidRPr="00AB1C5F" w:rsidRDefault="000B1C27" w:rsidP="00E831AB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>Neurological examination and electrophysiological studies confirmed a diagnosis of MG,</w:t>
      </w:r>
      <w:r w:rsidR="00E831AB" w:rsidRPr="00AB1C5F">
        <w:rPr>
          <w:rFonts w:ascii="Amasis MT Pro" w:eastAsia="Times New Roman" w:hAnsi="Amasis MT Pro" w:cs="Times New Roman"/>
          <w:lang w:val="en-US" w:eastAsia="fr-FR"/>
        </w:rPr>
        <w:t xml:space="preserve"> </w:t>
      </w:r>
      <w:r w:rsidRPr="00AB1C5F">
        <w:rPr>
          <w:rFonts w:ascii="Amasis MT Pro" w:eastAsia="Times New Roman" w:hAnsi="Amasis MT Pro" w:cs="Times New Roman"/>
          <w:lang w:val="en-US" w:eastAsia="fr-FR"/>
        </w:rPr>
        <w:t>generalized myasthenic sy</w:t>
      </w:r>
      <w:r w:rsidR="00E831AB" w:rsidRPr="00AB1C5F">
        <w:rPr>
          <w:rFonts w:ascii="Amasis MT Pro" w:eastAsia="Times New Roman" w:hAnsi="Amasis MT Pro" w:cs="Times New Roman"/>
          <w:lang w:val="en-US" w:eastAsia="fr-FR"/>
        </w:rPr>
        <w:t>ndrome (score 60/100, MGFA IIIa)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 supported by a neostigmine test and the detection of </w:t>
      </w:r>
      <w:r w:rsidRPr="00AB1C5F">
        <w:rPr>
          <w:rFonts w:ascii="Amasis MT Pro" w:hAnsi="Amasis MT Pro" w:cs="Times New Roman"/>
          <w:lang w:val="en-US"/>
        </w:rPr>
        <w:t>Anti-muscle-specific kinase (anti-MuSK) antibodies</w:t>
      </w:r>
    </w:p>
    <w:p w14:paraId="2C4AF5D2" w14:textId="44394624" w:rsidR="000B1C27" w:rsidRPr="00AB1C5F" w:rsidRDefault="000B1C27" w:rsidP="00E831AB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 xml:space="preserve">The patient required immunosuppressive therapy adjustments, including corticosteroids </w:t>
      </w:r>
      <w:r w:rsidR="00E831AB" w:rsidRPr="00AB1C5F">
        <w:rPr>
          <w:rFonts w:ascii="Amasis MT Pro" w:eastAsia="Times New Roman" w:hAnsi="Amasis MT Pro" w:cs="Times New Roman"/>
          <w:lang w:val="en-US" w:eastAsia="fr-FR"/>
        </w:rPr>
        <w:t>and acetylcholinesterase inhibitors (pyridostigmine),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 leading to clinical improvement.</w:t>
      </w:r>
    </w:p>
    <w:p w14:paraId="52C550A8" w14:textId="3BC6ECBB" w:rsidR="0001763B" w:rsidRPr="00AB1C5F" w:rsidRDefault="000B1C27" w:rsidP="00E831AB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 xml:space="preserve">In 2024, a thymectomy was performed, complicated by subclavian vein thrombosis </w:t>
      </w:r>
      <w:r w:rsidR="00E831AB" w:rsidRPr="00AB1C5F">
        <w:rPr>
          <w:rFonts w:ascii="Amasis MT Pro" w:eastAsia="Times New Roman" w:hAnsi="Amasis MT Pro" w:cs="Times New Roman"/>
          <w:lang w:val="en-US" w:eastAsia="fr-FR"/>
        </w:rPr>
        <w:t>requiring anticoagulation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 with vitamin K antagonists (VKAs).</w:t>
      </w:r>
    </w:p>
    <w:p w14:paraId="76B40EED" w14:textId="11796995" w:rsidR="000B1C27" w:rsidRPr="00AB1C5F" w:rsidRDefault="000B1C27" w:rsidP="00E831AB">
      <w:pPr>
        <w:spacing w:after="0" w:line="240" w:lineRule="auto"/>
        <w:rPr>
          <w:rFonts w:ascii="Amasis MT Pro" w:eastAsia="Times New Roman" w:hAnsi="Amasis MT Pro" w:cs="Times New Roman"/>
          <w:lang w:val="en-US" w:eastAsia="fr-FR"/>
        </w:rPr>
      </w:pPr>
      <w:r w:rsidRPr="00AB1C5F">
        <w:rPr>
          <w:rFonts w:ascii="Amasis MT Pro" w:eastAsia="Times New Roman" w:hAnsi="Amasis MT Pro" w:cs="Times New Roman"/>
          <w:lang w:val="en-US" w:eastAsia="fr-FR"/>
        </w:rPr>
        <w:t xml:space="preserve">The clinical course was marked by </w:t>
      </w: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cerebral vasculitis complicated by encephalomala</w:t>
      </w:r>
      <w:r w:rsidR="002241B3"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cia,</w:t>
      </w:r>
      <w:r w:rsidR="00DA50A8" w:rsidRPr="00AB1C5F">
        <w:rPr>
          <w:rFonts w:ascii="Amasis MT Pro" w:eastAsia="Times New Roman" w:hAnsi="Amasis MT Pro" w:cs="Times New Roman"/>
          <w:lang w:val="en-US" w:eastAsia="fr-FR"/>
        </w:rPr>
        <w:t xml:space="preserve"> </w:t>
      </w:r>
      <w:r w:rsidRPr="00AB1C5F">
        <w:rPr>
          <w:rFonts w:ascii="Amasis MT Pro" w:eastAsia="Times New Roman" w:hAnsi="Amasis MT Pro" w:cs="Times New Roman"/>
          <w:lang w:val="en-US" w:eastAsia="fr-FR"/>
        </w:rPr>
        <w:t xml:space="preserve">necessitating intensive immunosuppression. </w:t>
      </w:r>
    </w:p>
    <w:p w14:paraId="7794973C" w14:textId="77777777" w:rsidR="00AB1C5F" w:rsidRDefault="00AB1C5F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</w:p>
    <w:p w14:paraId="74AD8864" w14:textId="6C905187" w:rsidR="00F37C5A" w:rsidRPr="00AB1C5F" w:rsidRDefault="00A25045" w:rsidP="00E831AB">
      <w:pPr>
        <w:spacing w:after="0" w:line="240" w:lineRule="auto"/>
        <w:outlineLvl w:val="3"/>
        <w:rPr>
          <w:rFonts w:ascii="Amasis MT Pro" w:eastAsia="Times New Roman" w:hAnsi="Amasis MT Pro" w:cs="Times New Roman"/>
          <w:b/>
          <w:bCs/>
          <w:lang w:val="en-US" w:eastAsia="fr-FR"/>
        </w:rPr>
      </w:pPr>
      <w:r w:rsidRPr="00AB1C5F">
        <w:rPr>
          <w:rFonts w:ascii="Amasis MT Pro" w:eastAsia="Times New Roman" w:hAnsi="Amasis MT Pro" w:cs="Times New Roman"/>
          <w:b/>
          <w:bCs/>
          <w:lang w:val="en-US" w:eastAsia="fr-FR"/>
        </w:rPr>
        <w:t>Conclusion</w:t>
      </w:r>
      <w:r w:rsidR="00F37C5A" w:rsidRPr="00AB1C5F">
        <w:rPr>
          <w:rFonts w:ascii="Amasis MT Pro" w:eastAsia="Times New Roman" w:hAnsi="Amasis MT Pro" w:cs="Times New Roman"/>
          <w:b/>
          <w:bCs/>
          <w:lang w:val="en-US" w:eastAsia="fr-FR"/>
        </w:rPr>
        <w:t xml:space="preserve"> </w:t>
      </w:r>
    </w:p>
    <w:p w14:paraId="40564C8E" w14:textId="77777777" w:rsidR="00DA50A8" w:rsidRPr="00AB1C5F" w:rsidRDefault="00DA50A8" w:rsidP="00E831AB">
      <w:pPr>
        <w:spacing w:after="0"/>
        <w:rPr>
          <w:rFonts w:ascii="Amasis MT Pro" w:hAnsi="Amasis MT Pro" w:cs="Times New Roman"/>
          <w:lang w:val="en-US"/>
        </w:rPr>
      </w:pPr>
      <w:r w:rsidRPr="00AB1C5F">
        <w:rPr>
          <w:rFonts w:ascii="Amasis MT Pro" w:hAnsi="Amasis MT Pro" w:cs="Times New Roman"/>
          <w:lang w:val="en-US"/>
        </w:rPr>
        <w:t>The association of SLE and MG is uncommon and should be suspected in cases of unexplained neuromuscular involvement in lupus patients.</w:t>
      </w:r>
    </w:p>
    <w:p w14:paraId="49C3B089" w14:textId="6800B783" w:rsidR="00BE184A" w:rsidRDefault="00DA50A8" w:rsidP="00E831AB">
      <w:pPr>
        <w:spacing w:after="0"/>
        <w:rPr>
          <w:rFonts w:ascii="Amasis MT Pro" w:hAnsi="Amasis MT Pro" w:cs="Times New Roman"/>
          <w:lang w:val="en-US"/>
        </w:rPr>
      </w:pPr>
      <w:r w:rsidRPr="00AB1C5F">
        <w:rPr>
          <w:rFonts w:ascii="Amasis MT Pro" w:hAnsi="Amasis MT Pro" w:cs="Times New Roman"/>
          <w:lang w:val="en-US"/>
        </w:rPr>
        <w:t>Early screening and rigorous multidisciplinary follow-up are essential to prevent neurological and thromboembolic complications due to overlapping symptoms and potential treatment interactions.</w:t>
      </w:r>
    </w:p>
    <w:p w14:paraId="7E8D057C" w14:textId="204B32C4" w:rsidR="00AB1C5F" w:rsidRDefault="00AB1C5F" w:rsidP="00E831AB">
      <w:pPr>
        <w:spacing w:after="0"/>
        <w:rPr>
          <w:rFonts w:ascii="Amasis MT Pro" w:hAnsi="Amasis MT Pro" w:cs="Times New Roman"/>
          <w:lang w:val="en-US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1FDF5A91" wp14:editId="3A687119">
            <wp:simplePos x="0" y="0"/>
            <wp:positionH relativeFrom="margin">
              <wp:align>right</wp:align>
            </wp:positionH>
            <wp:positionV relativeFrom="margin">
              <wp:posOffset>8419465</wp:posOffset>
            </wp:positionV>
            <wp:extent cx="575310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310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C6356" w14:textId="2E6CD59A" w:rsidR="00AB1C5F" w:rsidRPr="00AB1C5F" w:rsidRDefault="00AB1C5F" w:rsidP="00E831AB">
      <w:pPr>
        <w:spacing w:after="0"/>
        <w:rPr>
          <w:rFonts w:ascii="Amasis MT Pro" w:hAnsi="Amasis MT Pro" w:cs="Times New Roman"/>
          <w:lang w:val="en-US"/>
        </w:rPr>
      </w:pPr>
    </w:p>
    <w:sectPr w:rsidR="00AB1C5F" w:rsidRPr="00A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54F9"/>
    <w:multiLevelType w:val="multilevel"/>
    <w:tmpl w:val="532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D54D2"/>
    <w:multiLevelType w:val="multilevel"/>
    <w:tmpl w:val="A17E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067BF"/>
    <w:multiLevelType w:val="multilevel"/>
    <w:tmpl w:val="CEA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458BD"/>
    <w:multiLevelType w:val="multilevel"/>
    <w:tmpl w:val="23A6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D3"/>
    <w:rsid w:val="0001763B"/>
    <w:rsid w:val="000B1C27"/>
    <w:rsid w:val="00181975"/>
    <w:rsid w:val="002241B3"/>
    <w:rsid w:val="00267159"/>
    <w:rsid w:val="002D10B7"/>
    <w:rsid w:val="00360641"/>
    <w:rsid w:val="00365E55"/>
    <w:rsid w:val="00374E10"/>
    <w:rsid w:val="004037DF"/>
    <w:rsid w:val="0048290A"/>
    <w:rsid w:val="0058012E"/>
    <w:rsid w:val="005F379A"/>
    <w:rsid w:val="007D7332"/>
    <w:rsid w:val="008D70F1"/>
    <w:rsid w:val="008E16C8"/>
    <w:rsid w:val="009C0178"/>
    <w:rsid w:val="00A25045"/>
    <w:rsid w:val="00A32734"/>
    <w:rsid w:val="00A627C0"/>
    <w:rsid w:val="00AB1C5F"/>
    <w:rsid w:val="00AF4BD3"/>
    <w:rsid w:val="00B77330"/>
    <w:rsid w:val="00B912FD"/>
    <w:rsid w:val="00BE184A"/>
    <w:rsid w:val="00C866D3"/>
    <w:rsid w:val="00D63768"/>
    <w:rsid w:val="00DA50A8"/>
    <w:rsid w:val="00E401BC"/>
    <w:rsid w:val="00E831AB"/>
    <w:rsid w:val="00EB3E64"/>
    <w:rsid w:val="00F37C5A"/>
    <w:rsid w:val="00F67DBE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E33EE"/>
  <w15:chartTrackingRefBased/>
  <w15:docId w15:val="{ADE923B1-0F35-414C-B1E9-A9D18F7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5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A25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A250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A2504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25045"/>
    <w:rPr>
      <w:b/>
      <w:bCs/>
    </w:rPr>
  </w:style>
  <w:style w:type="character" w:styleId="Emphasis">
    <w:name w:val="Emphasis"/>
    <w:basedOn w:val="DefaultParagraphFont"/>
    <w:uiPriority w:val="20"/>
    <w:qFormat/>
    <w:rsid w:val="00A25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Yara Abi Ghanem</cp:lastModifiedBy>
  <cp:revision>2</cp:revision>
  <dcterms:created xsi:type="dcterms:W3CDTF">2025-04-17T15:16:00Z</dcterms:created>
  <dcterms:modified xsi:type="dcterms:W3CDTF">2025-04-17T15:16:00Z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e19c2a50595eaec89952df7678b4c028474db7ea131315fcea7cc6049500aaf5</vt:lpwstr>
  </property>
</Properties>
</file>