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1E93" w14:textId="492CB1E3" w:rsidR="00277BFD" w:rsidRDefault="00277BFD" w:rsidP="001F26CA">
      <w:pPr>
        <w:spacing w:after="105" w:line="240" w:lineRule="auto"/>
        <w:rPr>
          <w:rFonts w:asciiTheme="majorBidi" w:eastAsia="Times New Roman" w:hAnsiTheme="majorBidi" w:cstheme="majorBidi"/>
          <w:b/>
          <w:bCs/>
          <w:color w:val="17191C"/>
          <w:kern w:val="0"/>
          <w:sz w:val="24"/>
          <w:szCs w:val="24"/>
          <w:lang w:eastAsia="fr-FR"/>
          <w14:ligatures w14:val="none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2B12C0D" wp14:editId="14BFF94D">
            <wp:simplePos x="0" y="0"/>
            <wp:positionH relativeFrom="margin">
              <wp:align>left</wp:align>
            </wp:positionH>
            <wp:positionV relativeFrom="margin">
              <wp:posOffset>-441960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772FC6" w14:textId="16406FA1" w:rsidR="00277BFD" w:rsidRPr="00277BFD" w:rsidRDefault="00277BFD" w:rsidP="001F26CA">
      <w:pPr>
        <w:spacing w:after="105" w:line="240" w:lineRule="auto"/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</w:pPr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6100</w:t>
      </w:r>
    </w:p>
    <w:p w14:paraId="0650059C" w14:textId="77777777" w:rsidR="00277BFD" w:rsidRDefault="00277BFD" w:rsidP="001F26CA">
      <w:pPr>
        <w:spacing w:after="105" w:line="240" w:lineRule="auto"/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</w:pPr>
    </w:p>
    <w:p w14:paraId="1E756E79" w14:textId="683CFA02" w:rsidR="001F26CA" w:rsidRPr="00277BFD" w:rsidRDefault="001F26CA" w:rsidP="001F26CA">
      <w:pPr>
        <w:spacing w:after="105" w:line="240" w:lineRule="auto"/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</w:pPr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 xml:space="preserve">Cigarette smoking </w:t>
      </w:r>
      <w:proofErr w:type="spellStart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is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 xml:space="preserve"> not </w:t>
      </w:r>
      <w:proofErr w:type="spellStart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linked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 xml:space="preserve"> to the progression of </w:t>
      </w:r>
      <w:proofErr w:type="spellStart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radiographic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 xml:space="preserve"> changes in </w:t>
      </w:r>
      <w:proofErr w:type="spellStart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psoriatic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arthritis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17191C"/>
          <w:kern w:val="0"/>
          <w:lang w:eastAsia="fr-FR"/>
          <w14:ligatures w14:val="none"/>
        </w:rPr>
        <w:t>.</w:t>
      </w:r>
    </w:p>
    <w:p w14:paraId="14E4E240" w14:textId="77777777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</w:pPr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Background/</w:t>
      </w:r>
      <w:proofErr w:type="spellStart"/>
      <w:proofErr w:type="gramStart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Purpose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:</w:t>
      </w:r>
      <w:proofErr w:type="gramEnd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 </w:t>
      </w:r>
    </w:p>
    <w:p w14:paraId="1A1BCB96" w14:textId="68AB7643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</w:pPr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relationship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between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smoking and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radiographic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damage has been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established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in axial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spondyloarthritis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and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rheumatoid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arthritis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but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remains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unexplored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in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psoriatic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arthritis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PsA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). This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study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was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designed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to examine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this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association in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PsA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.</w:t>
      </w:r>
    </w:p>
    <w:p w14:paraId="44D80232" w14:textId="77777777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</w:pPr>
      <w:proofErr w:type="gramStart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Methods:</w:t>
      </w:r>
      <w:proofErr w:type="gramEnd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 </w:t>
      </w:r>
    </w:p>
    <w:p w14:paraId="375DF2BD" w14:textId="2BC87908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</w:pP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included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patients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with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psoriatic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arthritis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PsA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from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our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prospective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observational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cohort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. Smoking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status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was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assessed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from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baseline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visit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until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the first occurrence of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radiographic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progression,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defined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as an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increase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of ≥1 point on 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modified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Steinbrocker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score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mSS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). Patients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classified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as non-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smokers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past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smokers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or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current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smokers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. To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identify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factors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associated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with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the time to progression of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peripheral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joint damage,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conducted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Cox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regression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analysis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. To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account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for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potential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collider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bias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from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uncontrolled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confounding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evaluated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following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covariates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at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baseline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only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(not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longitudinally</w:t>
      </w:r>
      <w:proofErr w:type="spellEnd"/>
      <w:proofErr w:type="gram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):</w:t>
      </w:r>
      <w:proofErr w:type="gram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swollen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joint count (SJC),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dactylitis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mSS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and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abnormal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erythrocyte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sedimentation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rate (ESR).</w:t>
      </w:r>
    </w:p>
    <w:p w14:paraId="7ADF6A2E" w14:textId="77777777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</w:pPr>
      <w:proofErr w:type="spellStart"/>
      <w:proofErr w:type="gramStart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Results</w:t>
      </w:r>
      <w:proofErr w:type="spellEnd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:</w:t>
      </w:r>
      <w:proofErr w:type="gramEnd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 </w:t>
      </w:r>
    </w:p>
    <w:p w14:paraId="2A360DCF" w14:textId="2DD90D49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</w:pPr>
      <w:proofErr w:type="gram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Frome  56</w:t>
      </w:r>
      <w:proofErr w:type="gram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patients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included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in 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study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37 (65%)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male,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with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mean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age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of 48.1 (SD 12.7)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years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and a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mean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PsA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duration of 4.3 (SD 5.2)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years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at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baseline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. Of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these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16 (28.5%)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non-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smokers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20 (35.7%)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past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smokers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30 (53.5%)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current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smokers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. At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baseline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19 (37%) patients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had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erosions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and 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median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[interquartile range]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modified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Steinbrocker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score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mSS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was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1.6 [0.0, 10.0]. In the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multivariate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regression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analysis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young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age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(HR 2.11, p &lt; 0.01), long duration of psoriasis (HR 1.59, p = 0.002),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higher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baseline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swollen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joint count (SJC) (HR 1.02, p = 0.02),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higher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mSS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(HR 1.01, p &lt; 0.002),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baseline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enthesitis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(HR 1.49, p &lt; 0.001), and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hight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CRP rate (HR 1.92, p = 0.003)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all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associated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with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 shorter time to progression of joint damage. In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contrast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, smoking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both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current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and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past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 (HR 0.89, and HR 0.77,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respectively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 and the use of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any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advanced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therapy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DMARDs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or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biologic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 (HR 0.71)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were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associated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with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gram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</w:t>
      </w:r>
      <w:proofErr w:type="gram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longer time to progression of joint damage</w:t>
      </w:r>
    </w:p>
    <w:p w14:paraId="76BC8D2C" w14:textId="00FC4057" w:rsidR="001F26CA" w:rsidRPr="00277BFD" w:rsidRDefault="001F26CA" w:rsidP="001F26CA">
      <w:pPr>
        <w:spacing w:after="420" w:line="240" w:lineRule="auto"/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</w:pPr>
      <w:proofErr w:type="gramStart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Conclusion:</w:t>
      </w:r>
      <w:proofErr w:type="gramEnd"/>
      <w:r w:rsidRPr="00277BFD">
        <w:rPr>
          <w:rFonts w:ascii="Amasis MT Pro" w:eastAsia="Times New Roman" w:hAnsi="Amasis MT Pro" w:cstheme="majorBidi"/>
          <w:b/>
          <w:bCs/>
          <w:color w:val="000000"/>
          <w:kern w:val="0"/>
          <w:lang w:eastAsia="fr-FR"/>
          <w14:ligatures w14:val="none"/>
        </w:rPr>
        <w:t> </w:t>
      </w:r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Cigarette smoking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does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not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seem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to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be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positively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associated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with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the progression of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peripheral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joint damage in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psoriatic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arthritis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(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PsA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).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Further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studies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are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needed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to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validate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these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findings</w:t>
      </w:r>
      <w:proofErr w:type="spellEnd"/>
      <w:r w:rsidRPr="00277BFD">
        <w:rPr>
          <w:rFonts w:ascii="Amasis MT Pro" w:eastAsia="Times New Roman" w:hAnsi="Amasis MT Pro" w:cstheme="majorBidi"/>
          <w:color w:val="000000"/>
          <w:kern w:val="0"/>
          <w:lang w:eastAsia="fr-FR"/>
          <w14:ligatures w14:val="none"/>
        </w:rPr>
        <w:t>.</w:t>
      </w:r>
    </w:p>
    <w:p w14:paraId="7475994F" w14:textId="5F1FC06B" w:rsidR="00EB683D" w:rsidRPr="00277BFD" w:rsidRDefault="00277BFD">
      <w:pPr>
        <w:rPr>
          <w:rFonts w:ascii="Amasis MT Pro" w:hAnsi="Amasis MT Pro" w:cstheme="majorBidi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6025B5F7" wp14:editId="7B08514E">
            <wp:simplePos x="0" y="0"/>
            <wp:positionH relativeFrom="margin">
              <wp:posOffset>-635</wp:posOffset>
            </wp:positionH>
            <wp:positionV relativeFrom="margin">
              <wp:posOffset>8274685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683D" w:rsidRPr="0027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CA"/>
    <w:rsid w:val="001C5DB5"/>
    <w:rsid w:val="001F26CA"/>
    <w:rsid w:val="00277BFD"/>
    <w:rsid w:val="00EB683D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1FDD"/>
  <w15:chartTrackingRefBased/>
  <w15:docId w15:val="{403F62A1-D1AF-4C88-9655-472A54A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Yara Abi Ghanem</cp:lastModifiedBy>
  <cp:revision>2</cp:revision>
  <dcterms:created xsi:type="dcterms:W3CDTF">2025-04-18T07:42:00Z</dcterms:created>
  <dcterms:modified xsi:type="dcterms:W3CDTF">2025-04-18T07:42:00Z</dcterms:modified>
</cp:coreProperties>
</file>