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9BE1" w14:textId="77777777" w:rsidR="00343AEB" w:rsidRDefault="00343AEB" w:rsidP="00343AEB">
      <w:pPr>
        <w:rPr>
          <w:rFonts w:ascii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4FA577B" wp14:editId="31F074D4">
            <wp:simplePos x="0" y="0"/>
            <wp:positionH relativeFrom="margin">
              <wp:align>left</wp:align>
            </wp:positionH>
            <wp:positionV relativeFrom="margin">
              <wp:posOffset>-396240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AFED32" w14:textId="1231C468" w:rsidR="00343AEB" w:rsidRPr="00343AEB" w:rsidRDefault="00343AEB" w:rsidP="00343AEB">
      <w:pPr>
        <w:rPr>
          <w:rFonts w:ascii="Times New Roman" w:hAnsi="Times New Roman" w:cs="Times New Roman"/>
          <w:b/>
          <w:bCs/>
          <w:sz w:val="20"/>
          <w:szCs w:val="20"/>
          <w:lang w:val="en-GB" w:eastAsia="fr-FR"/>
        </w:rPr>
      </w:pPr>
      <w:r w:rsidRPr="00343AEB">
        <w:rPr>
          <w:rFonts w:ascii="Amasis MT Pro" w:hAnsi="Amasis MT Pro" w:cs="Times New Roman"/>
          <w:b/>
          <w:bCs/>
          <w:sz w:val="20"/>
          <w:szCs w:val="20"/>
          <w:lang w:val="en-GB" w:eastAsia="fr-FR"/>
        </w:rPr>
        <w:t>6384</w:t>
      </w:r>
    </w:p>
    <w:p w14:paraId="7761C64D" w14:textId="773D1086" w:rsidR="002C1935" w:rsidRPr="00343AEB" w:rsidRDefault="00343AEB">
      <w:pPr>
        <w:jc w:val="center"/>
        <w:rPr>
          <w:rFonts w:ascii="Amasis MT Pro" w:hAnsi="Amasis MT Pro" w:cs="Times New Roman"/>
          <w:b/>
          <w:bCs/>
          <w:sz w:val="20"/>
          <w:szCs w:val="20"/>
          <w:lang w:val="en-GB"/>
        </w:rPr>
      </w:pPr>
      <w:r w:rsidRPr="00343AEB">
        <w:rPr>
          <w:rFonts w:ascii="Amasis MT Pro" w:hAnsi="Amasis MT Pro" w:cs="Times New Roman"/>
          <w:b/>
          <w:bCs/>
          <w:sz w:val="20"/>
          <w:szCs w:val="20"/>
          <w:lang w:val="en-GB" w:eastAsia="fr-FR"/>
        </w:rPr>
        <w:t xml:space="preserve">ANEMIA </w:t>
      </w:r>
      <w:proofErr w:type="gramStart"/>
      <w:r w:rsidRPr="00343AEB">
        <w:rPr>
          <w:rFonts w:ascii="Amasis MT Pro" w:hAnsi="Amasis MT Pro" w:cs="Times New Roman"/>
          <w:b/>
          <w:bCs/>
          <w:sz w:val="20"/>
          <w:szCs w:val="20"/>
          <w:lang w:val="en-GB" w:eastAsia="fr-FR"/>
        </w:rPr>
        <w:t>IN  PATIENTS</w:t>
      </w:r>
      <w:proofErr w:type="gramEnd"/>
      <w:r w:rsidRPr="00343AEB">
        <w:rPr>
          <w:rFonts w:ascii="Amasis MT Pro" w:hAnsi="Amasis MT Pro" w:cs="Times New Roman"/>
          <w:b/>
          <w:bCs/>
          <w:sz w:val="20"/>
          <w:szCs w:val="20"/>
          <w:lang w:val="en-GB" w:eastAsia="fr-FR"/>
        </w:rPr>
        <w:t xml:space="preserve"> WITH RHEUMATOID ARTHRITIS: PREVALENCE AND ASSOCIATED CORRELATING FACTORS</w:t>
      </w:r>
    </w:p>
    <w:p w14:paraId="7D016EE1" w14:textId="77777777" w:rsidR="002C1935" w:rsidRPr="00343AEB" w:rsidRDefault="00343AEB">
      <w:pPr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  <w:t xml:space="preserve">Introduction: </w:t>
      </w:r>
    </w:p>
    <w:p w14:paraId="5A807240" w14:textId="77777777" w:rsidR="00343AEB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Rheumatoid arthritis (RA) is a chronic systemic inflammatory disease of unknown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etiology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, primarily characterized by synovial joint involvement leading to structural alterations. It often presents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hematological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disturbances, notably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Hematological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di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sturbances, particularly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, are frequently observed in individuals with RA. </w:t>
      </w:r>
    </w:p>
    <w:p w14:paraId="4F93FC9F" w14:textId="77777777" w:rsidR="00343AEB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b/>
          <w:bCs/>
          <w:sz w:val="20"/>
          <w:szCs w:val="20"/>
          <w:lang w:val="en-US" w:eastAsia="fr-FR"/>
        </w:rPr>
        <w:t>Objectives:</w:t>
      </w:r>
    </w:p>
    <w:p w14:paraId="6B812D18" w14:textId="38DB4933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Our study aims to investigate the prevalence of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in RA, and explores associated factors, in order to establish correlations with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. while also examinin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g the associated factors and their correlation with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.</w:t>
      </w:r>
    </w:p>
    <w:p w14:paraId="55ABEEC6" w14:textId="77777777" w:rsidR="002C1935" w:rsidRPr="00343AEB" w:rsidRDefault="00343AEB">
      <w:pPr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  <w:t>Patients and Methods:</w:t>
      </w:r>
    </w:p>
    <w:p w14:paraId="3FF401EA" w14:textId="77777777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This is a descriptive cross-sectional study conducted at the rheumatology department, including patients with RA meeting according to ACR/EULAR 2010 and/or ACR 1987 criteria.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For each patient, we collected demographic, clinical, radiological, and therapeutic characteristics related to RA. Demographic, clinical, radiological, and therapeutic data related to RA were collected for each patient.</w:t>
      </w:r>
    </w:p>
    <w:p w14:paraId="0EFA3BA3" w14:textId="77777777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  <w:t>Results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: </w:t>
      </w:r>
    </w:p>
    <w:p w14:paraId="30CE9696" w14:textId="77777777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 total of 108 patients p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articipated, with an average age of 55.15 years ±13,18 [19-83]. A female predominance was noted with a sex ratio of 0.2. The average duration of RA was 11.1 years ±8,9. The mean DAS28 ESR was 5.26 ±1,45 with high activity in 52.5% of cases.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was obse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rved in 60.2% with an average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hemoglobin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level of 10.37 g/dl. Inflammatory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was found in 61.5%, and 39.5% had iron-deficiency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. Common manifestations included fatigue (64.8%), exertional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dyspnea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(3.7%), dizziness (3.7%), and palpitations (1.8%)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. </w:t>
      </w:r>
    </w:p>
    <w:p w14:paraId="0073BF14" w14:textId="77777777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The mean serum iron level was 14.4 µmol/l, and 39.8% of patients had iron deficiency. The mean ferritin level was 138.5µg/l, and 39.8% had elevated ferritin levels. A significant association was noted between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and pain intensity (p=0.001), polyart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icular onset (p=0.04), structural damage (p=0.04), and other associated autoimmune diseases (p=0.001). Analysis also showed a significant association between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and ESR (p=0.009), CRP (p=0.02), ferritin level (p=0.001), mean corpuscular volume (MCV) (p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=&lt;10-3), Mean Corpuscular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Hemoglobin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(MCH) content (p &lt; 10-3), MCH concentration (p&lt;10-3), neutrophil/lymphocyte ratio (p=0.03), platelet count (p=0.03), and mean platelet volume (p=0.04).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was correlated with rheumatoid factor positivity (p=0.03) bu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t not with anti-citrullinated peptide antibodies (ACPA) (p=0.76) or ANA (p=0.16) positivity. No significant association was found between prescribed treatments and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. Disease activity strongly correlated with </w:t>
      </w:r>
      <w:proofErr w:type="spellStart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anemia</w:t>
      </w:r>
      <w:proofErr w:type="spellEnd"/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(p=0.01), MCH content(p=0.04), and 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MCH concentration(p=0.03).</w:t>
      </w:r>
    </w:p>
    <w:p w14:paraId="737619C9" w14:textId="77777777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43AEB">
        <w:rPr>
          <w:rFonts w:ascii="Amasis MT Pro" w:eastAsia="Times New Roman" w:hAnsi="Amasis MT Pro" w:cs="Times New Roman"/>
          <w:b/>
          <w:bCs/>
          <w:sz w:val="20"/>
          <w:szCs w:val="20"/>
          <w:lang w:val="en-GB" w:eastAsia="fr-FR"/>
        </w:rPr>
        <w:t>Conclusion:</w:t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 xml:space="preserve"> </w:t>
      </w:r>
    </w:p>
    <w:p w14:paraId="5D3546B0" w14:textId="68702F71" w:rsidR="002C1935" w:rsidRPr="00343AEB" w:rsidRDefault="00343AEB">
      <w:pPr>
        <w:rPr>
          <w:rFonts w:ascii="Amasis MT Pro" w:eastAsia="Times New Roman" w:hAnsi="Amasis MT Pro" w:cs="Times New Roman"/>
          <w:sz w:val="20"/>
          <w:szCs w:val="20"/>
          <w:lang w:val="en-GB" w:eastAsia="fr-FR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34630881" wp14:editId="0C2ED236">
            <wp:simplePos x="0" y="0"/>
            <wp:positionH relativeFrom="margin">
              <wp:align>right</wp:align>
            </wp:positionH>
            <wp:positionV relativeFrom="margin">
              <wp:posOffset>8404860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AEB">
        <w:rPr>
          <w:rFonts w:ascii="Amasis MT Pro" w:eastAsia="Times New Roman" w:hAnsi="Amasis MT Pro" w:cs="Times New Roman"/>
          <w:sz w:val="20"/>
          <w:szCs w:val="20"/>
          <w:lang w:val="en-GB" w:eastAsia="fr-FR"/>
        </w:rPr>
        <w:t>Our study</w:t>
      </w:r>
      <w:r w:rsidRPr="00343AEB">
        <w:rPr>
          <w:rFonts w:ascii="Amasis MT Pro" w:hAnsi="Amasis MT Pro" w:cs="Times New Roman"/>
          <w:sz w:val="20"/>
          <w:szCs w:val="20"/>
          <w:lang w:val="en-GB"/>
        </w:rPr>
        <w:t xml:space="preserve"> </w:t>
      </w:r>
      <w:r w:rsidRPr="00343AEB">
        <w:rPr>
          <w:rFonts w:ascii="Amasis MT Pro" w:hAnsi="Amasis MT Pro" w:cs="Times New Roman"/>
          <w:sz w:val="20"/>
          <w:szCs w:val="20"/>
          <w:lang w:val="en-ZA"/>
        </w:rPr>
        <w:t xml:space="preserve">highlights the high prevalence of </w:t>
      </w:r>
      <w:proofErr w:type="spellStart"/>
      <w:r w:rsidRPr="00343AEB">
        <w:rPr>
          <w:rFonts w:ascii="Amasis MT Pro" w:hAnsi="Amasis MT Pro" w:cs="Times New Roman"/>
          <w:sz w:val="20"/>
          <w:szCs w:val="20"/>
          <w:lang w:val="en-ZA"/>
        </w:rPr>
        <w:t>anemia</w:t>
      </w:r>
      <w:proofErr w:type="spellEnd"/>
      <w:r w:rsidRPr="00343AEB">
        <w:rPr>
          <w:rFonts w:ascii="Amasis MT Pro" w:hAnsi="Amasis MT Pro" w:cs="Times New Roman"/>
          <w:sz w:val="20"/>
          <w:szCs w:val="20"/>
          <w:lang w:val="en-ZA"/>
        </w:rPr>
        <w:t xml:space="preserve"> in Tunisian RA patients. Associations with disease activity suggest the potential use of </w:t>
      </w:r>
      <w:proofErr w:type="spellStart"/>
      <w:r w:rsidRPr="00343AEB">
        <w:rPr>
          <w:rFonts w:ascii="Amasis MT Pro" w:hAnsi="Amasis MT Pro" w:cs="Times New Roman"/>
          <w:sz w:val="20"/>
          <w:szCs w:val="20"/>
          <w:lang w:val="en-ZA"/>
        </w:rPr>
        <w:t>anemia</w:t>
      </w:r>
      <w:proofErr w:type="spellEnd"/>
      <w:r w:rsidRPr="00343AEB">
        <w:rPr>
          <w:rFonts w:ascii="Amasis MT Pro" w:hAnsi="Amasis MT Pro" w:cs="Times New Roman"/>
          <w:sz w:val="20"/>
          <w:szCs w:val="20"/>
          <w:lang w:val="en-ZA"/>
        </w:rPr>
        <w:t xml:space="preserve"> as an indicator of inflammation in RA. Further research is </w:t>
      </w:r>
      <w:r w:rsidRPr="00343AEB">
        <w:rPr>
          <w:rFonts w:ascii="Amasis MT Pro" w:hAnsi="Amasis MT Pro" w:cs="Times New Roman"/>
          <w:sz w:val="20"/>
          <w:szCs w:val="20"/>
          <w:lang w:val="en-ZA"/>
        </w:rPr>
        <w:t>needed to refine understanding and improve management strategies</w:t>
      </w:r>
      <w:r>
        <w:rPr>
          <w:rFonts w:ascii="Amasis MT Pro" w:hAnsi="Amasis MT Pro" w:cs="Times New Roman"/>
          <w:sz w:val="20"/>
          <w:szCs w:val="20"/>
          <w:lang w:val="en-ZA"/>
        </w:rPr>
        <w:t>.</w:t>
      </w:r>
    </w:p>
    <w:sectPr w:rsidR="002C1935" w:rsidRPr="0034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D1C9" w14:textId="77777777" w:rsidR="002C1935" w:rsidRDefault="00343AEB">
      <w:pPr>
        <w:spacing w:line="240" w:lineRule="auto"/>
      </w:pPr>
      <w:r>
        <w:separator/>
      </w:r>
    </w:p>
  </w:endnote>
  <w:endnote w:type="continuationSeparator" w:id="0">
    <w:p w14:paraId="763F72E8" w14:textId="77777777" w:rsidR="002C1935" w:rsidRDefault="0034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A1E8" w14:textId="77777777" w:rsidR="002C1935" w:rsidRDefault="00343AEB">
      <w:pPr>
        <w:spacing w:after="0"/>
      </w:pPr>
      <w:r>
        <w:separator/>
      </w:r>
    </w:p>
  </w:footnote>
  <w:footnote w:type="continuationSeparator" w:id="0">
    <w:p w14:paraId="0ADD9EF8" w14:textId="77777777" w:rsidR="002C1935" w:rsidRDefault="00343A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9F"/>
    <w:rsid w:val="0012096C"/>
    <w:rsid w:val="00161CCE"/>
    <w:rsid w:val="002C1935"/>
    <w:rsid w:val="00343AEB"/>
    <w:rsid w:val="00603D9F"/>
    <w:rsid w:val="00845413"/>
    <w:rsid w:val="008C0DEF"/>
    <w:rsid w:val="008D24D2"/>
    <w:rsid w:val="00C22E79"/>
    <w:rsid w:val="00E52E8B"/>
    <w:rsid w:val="763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7165"/>
  <w15:docId w15:val="{C5954559-92A8-415C-B20B-4B4D1F3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Yara Abi Ghanem</cp:lastModifiedBy>
  <cp:revision>2</cp:revision>
  <dcterms:created xsi:type="dcterms:W3CDTF">2025-04-18T05:59:00Z</dcterms:created>
  <dcterms:modified xsi:type="dcterms:W3CDTF">2025-04-18T05:59:00Z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0153998CFEE447CFAE3E83BA49196936_12</vt:lpwstr>
  </property>
</Properties>
</file>