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2D4E" w14:textId="638470A4" w:rsidR="00E3099A" w:rsidRDefault="00E3099A" w:rsidP="00BA6B83">
      <w:pPr>
        <w:pStyle w:val="NormalWeb"/>
        <w:rPr>
          <w:rStyle w:val="Strong"/>
          <w:lang w:val="en-US"/>
        </w:rPr>
      </w:pPr>
      <w:r>
        <w:rPr>
          <w:rFonts w:ascii="Amasis MT Pro" w:eastAsia="Calibri" w:hAnsi="Amasis MT Pro"/>
          <w:b/>
          <w:bCs/>
          <w:noProof/>
          <w:lang w:val="en-GB"/>
        </w:rPr>
        <w:drawing>
          <wp:anchor distT="0" distB="0" distL="114300" distR="114300" simplePos="0" relativeHeight="251659264" behindDoc="0" locked="0" layoutInCell="1" allowOverlap="1" wp14:anchorId="6AE22189" wp14:editId="3D51D00E">
            <wp:simplePos x="0" y="0"/>
            <wp:positionH relativeFrom="margin">
              <wp:align>left</wp:align>
            </wp:positionH>
            <wp:positionV relativeFrom="margin">
              <wp:posOffset>-358140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4C0C143A" w14:textId="7E9EACA5" w:rsidR="00E3099A" w:rsidRPr="00E3099A" w:rsidRDefault="00E3099A" w:rsidP="00BA6B83">
      <w:pPr>
        <w:pStyle w:val="NormalWeb"/>
        <w:rPr>
          <w:rStyle w:val="Strong"/>
          <w:rFonts w:ascii="Amasis MT Pro" w:hAnsi="Amasis MT Pro"/>
          <w:sz w:val="22"/>
          <w:szCs w:val="22"/>
          <w:lang w:val="en-US"/>
        </w:rPr>
      </w:pPr>
      <w:r w:rsidRPr="00E3099A">
        <w:rPr>
          <w:rStyle w:val="Strong"/>
          <w:rFonts w:ascii="Amasis MT Pro" w:hAnsi="Amasis MT Pro"/>
          <w:sz w:val="22"/>
          <w:szCs w:val="22"/>
          <w:lang w:val="en-US"/>
        </w:rPr>
        <w:t>6315</w:t>
      </w:r>
    </w:p>
    <w:p w14:paraId="0021599E" w14:textId="77777777" w:rsidR="00E3099A" w:rsidRDefault="00E3099A" w:rsidP="00BA6B83">
      <w:pPr>
        <w:pStyle w:val="NormalWeb"/>
        <w:rPr>
          <w:rStyle w:val="Strong"/>
          <w:rFonts w:ascii="Amasis MT Pro" w:hAnsi="Amasis MT Pro"/>
          <w:sz w:val="22"/>
          <w:szCs w:val="22"/>
        </w:rPr>
      </w:pPr>
    </w:p>
    <w:p w14:paraId="202E7940" w14:textId="0CADBC66" w:rsidR="00BA6B83" w:rsidRPr="00E3099A" w:rsidRDefault="00BA6B83" w:rsidP="00BA6B83">
      <w:pPr>
        <w:pStyle w:val="NormalWeb"/>
        <w:rPr>
          <w:rFonts w:ascii="Amasis MT Pro" w:hAnsi="Amasis MT Pro"/>
          <w:sz w:val="22"/>
          <w:szCs w:val="22"/>
        </w:rPr>
      </w:pPr>
      <w:r w:rsidRPr="00E3099A">
        <w:rPr>
          <w:rStyle w:val="Strong"/>
          <w:rFonts w:ascii="Amasis MT Pro" w:hAnsi="Amasis MT Pro"/>
          <w:sz w:val="22"/>
          <w:szCs w:val="22"/>
        </w:rPr>
        <w:t>Association of Inflammatory Bowel Disease (IBD) and Spondyloarthritis (SpA) under TNF-</w:t>
      </w:r>
      <w:r w:rsidRPr="00E3099A">
        <w:rPr>
          <w:rStyle w:val="Strong"/>
          <w:rFonts w:ascii="Cambria" w:hAnsi="Cambria" w:cs="Cambria"/>
          <w:sz w:val="22"/>
          <w:szCs w:val="22"/>
        </w:rPr>
        <w:t>α</w:t>
      </w:r>
      <w:r w:rsidRPr="00E3099A">
        <w:rPr>
          <w:rStyle w:val="Strong"/>
          <w:rFonts w:ascii="Amasis MT Pro" w:hAnsi="Amasis MT Pro"/>
          <w:sz w:val="22"/>
          <w:szCs w:val="22"/>
        </w:rPr>
        <w:t xml:space="preserve"> Inhibitors: A Retrospective Study of 17 Cases</w:t>
      </w:r>
    </w:p>
    <w:p w14:paraId="31EE42F3" w14:textId="77777777" w:rsidR="00BA6B83" w:rsidRPr="00E3099A" w:rsidRDefault="00BA6B83" w:rsidP="00BA6B83">
      <w:pPr>
        <w:pStyle w:val="NormalWeb"/>
        <w:rPr>
          <w:rFonts w:ascii="Amasis MT Pro" w:hAnsi="Amasis MT Pro"/>
          <w:sz w:val="22"/>
          <w:szCs w:val="22"/>
        </w:rPr>
      </w:pPr>
      <w:r w:rsidRPr="00E3099A">
        <w:rPr>
          <w:rStyle w:val="Strong"/>
          <w:rFonts w:ascii="Amasis MT Pro" w:hAnsi="Amasis MT Pro"/>
          <w:sz w:val="22"/>
          <w:szCs w:val="22"/>
        </w:rPr>
        <w:t>Introduction:</w:t>
      </w:r>
      <w:r w:rsidRPr="00E3099A">
        <w:rPr>
          <w:rFonts w:ascii="Amasis MT Pro" w:hAnsi="Amasis MT Pro"/>
          <w:sz w:val="22"/>
          <w:szCs w:val="22"/>
        </w:rPr>
        <w:t xml:space="preserve"> Inflammatory joint involvement is a common extra-intestinal manifestation in patients with chronic inflammatory bowel diseases (IBD), particularly in the form of spondyloarthropathies (SpA). This study examines the clinical features, management, and outcomes of IBD patients with associated SpA, treated with TNF-</w:t>
      </w:r>
      <w:r w:rsidRPr="00E3099A">
        <w:rPr>
          <w:rFonts w:ascii="Cambria" w:hAnsi="Cambria" w:cs="Cambria"/>
          <w:sz w:val="22"/>
          <w:szCs w:val="22"/>
        </w:rPr>
        <w:t>α</w:t>
      </w:r>
      <w:r w:rsidRPr="00E3099A">
        <w:rPr>
          <w:rFonts w:ascii="Amasis MT Pro" w:hAnsi="Amasis MT Pro"/>
          <w:sz w:val="22"/>
          <w:szCs w:val="22"/>
        </w:rPr>
        <w:t xml:space="preserve"> inhibitors.</w:t>
      </w:r>
    </w:p>
    <w:p w14:paraId="1C8B2EAF" w14:textId="77777777" w:rsidR="00BA6B83" w:rsidRPr="00E3099A" w:rsidRDefault="00BA6B83" w:rsidP="00BA6B83">
      <w:pPr>
        <w:pStyle w:val="NormalWeb"/>
        <w:rPr>
          <w:rFonts w:ascii="Amasis MT Pro" w:hAnsi="Amasis MT Pro"/>
          <w:sz w:val="22"/>
          <w:szCs w:val="22"/>
        </w:rPr>
      </w:pPr>
      <w:r w:rsidRPr="00E3099A">
        <w:rPr>
          <w:rStyle w:val="Strong"/>
          <w:rFonts w:ascii="Amasis MT Pro" w:hAnsi="Amasis MT Pro"/>
          <w:sz w:val="22"/>
          <w:szCs w:val="22"/>
        </w:rPr>
        <w:t>Objective:</w:t>
      </w:r>
      <w:r w:rsidRPr="00E3099A">
        <w:rPr>
          <w:rFonts w:ascii="Amasis MT Pro" w:hAnsi="Amasis MT Pro"/>
          <w:sz w:val="22"/>
          <w:szCs w:val="22"/>
        </w:rPr>
        <w:t xml:space="preserve"> To assess the clinical characteristics, treatment efficacy, and prognosis of IBD patients with SpA treated with TNF-</w:t>
      </w:r>
      <w:r w:rsidRPr="00E3099A">
        <w:rPr>
          <w:rFonts w:ascii="Cambria" w:hAnsi="Cambria" w:cs="Cambria"/>
          <w:sz w:val="22"/>
          <w:szCs w:val="22"/>
        </w:rPr>
        <w:t>α</w:t>
      </w:r>
      <w:r w:rsidRPr="00E3099A">
        <w:rPr>
          <w:rFonts w:ascii="Amasis MT Pro" w:hAnsi="Amasis MT Pro"/>
          <w:sz w:val="22"/>
          <w:szCs w:val="22"/>
        </w:rPr>
        <w:t xml:space="preserve"> inhibitors. A secondary goal is to evaluate the relationship between IBD and SpA in the context of immune suppression therapy.</w:t>
      </w:r>
    </w:p>
    <w:p w14:paraId="228AB137" w14:textId="3A0BD432" w:rsidR="00BA6B83" w:rsidRPr="00E3099A" w:rsidRDefault="00BA6B83" w:rsidP="00BA6B83">
      <w:pPr>
        <w:pStyle w:val="NormalWeb"/>
        <w:rPr>
          <w:rFonts w:ascii="Amasis MT Pro" w:hAnsi="Amasis MT Pro"/>
          <w:sz w:val="22"/>
          <w:szCs w:val="22"/>
        </w:rPr>
      </w:pPr>
      <w:r w:rsidRPr="00E3099A">
        <w:rPr>
          <w:rStyle w:val="Strong"/>
          <w:rFonts w:ascii="Amasis MT Pro" w:hAnsi="Amasis MT Pro"/>
          <w:sz w:val="22"/>
          <w:szCs w:val="22"/>
        </w:rPr>
        <w:t>Methods:</w:t>
      </w:r>
      <w:r w:rsidRPr="00E3099A">
        <w:rPr>
          <w:rFonts w:ascii="Amasis MT Pro" w:hAnsi="Amasis MT Pro"/>
          <w:sz w:val="22"/>
          <w:szCs w:val="22"/>
        </w:rPr>
        <w:t xml:space="preserve"> This is a retrospective, monocentric, descriptive study involving 17 patients diagnosed with IBD and SpA between 2013 and 202</w:t>
      </w:r>
      <w:r w:rsidR="00B25FE8" w:rsidRPr="00E3099A">
        <w:rPr>
          <w:rFonts w:ascii="Amasis MT Pro" w:hAnsi="Amasis MT Pro"/>
          <w:sz w:val="22"/>
          <w:szCs w:val="22"/>
        </w:rPr>
        <w:t>4</w:t>
      </w:r>
      <w:r w:rsidRPr="00E3099A">
        <w:rPr>
          <w:rFonts w:ascii="Amasis MT Pro" w:hAnsi="Amasis MT Pro"/>
          <w:sz w:val="22"/>
          <w:szCs w:val="22"/>
        </w:rPr>
        <w:t xml:space="preserve"> at the internal medicine department. These patients were treated with TNF-</w:t>
      </w:r>
      <w:r w:rsidRPr="00E3099A">
        <w:rPr>
          <w:rFonts w:ascii="Cambria" w:hAnsi="Cambria" w:cs="Cambria"/>
          <w:sz w:val="22"/>
          <w:szCs w:val="22"/>
        </w:rPr>
        <w:t>α</w:t>
      </w:r>
      <w:r w:rsidRPr="00E3099A">
        <w:rPr>
          <w:rFonts w:ascii="Amasis MT Pro" w:hAnsi="Amasis MT Pro"/>
          <w:sz w:val="22"/>
          <w:szCs w:val="22"/>
        </w:rPr>
        <w:t xml:space="preserve"> inhibitors, either alone or in combination with immunosuppressive therapy. We analyzed clinical, epidemiological, and paraclinical data, as well as treatment outcomes.</w:t>
      </w:r>
    </w:p>
    <w:p w14:paraId="3DBD42F4" w14:textId="77777777" w:rsidR="00BA6B83" w:rsidRPr="00E3099A" w:rsidRDefault="00BA6B83" w:rsidP="00BA6B83">
      <w:pPr>
        <w:pStyle w:val="NormalWeb"/>
        <w:rPr>
          <w:rFonts w:ascii="Amasis MT Pro" w:hAnsi="Amasis MT Pro"/>
          <w:sz w:val="22"/>
          <w:szCs w:val="22"/>
        </w:rPr>
      </w:pPr>
      <w:r w:rsidRPr="00E3099A">
        <w:rPr>
          <w:rStyle w:val="Strong"/>
          <w:rFonts w:ascii="Amasis MT Pro" w:hAnsi="Amasis MT Pro"/>
          <w:sz w:val="22"/>
          <w:szCs w:val="22"/>
        </w:rPr>
        <w:t>Results:</w:t>
      </w:r>
      <w:r w:rsidRPr="00E3099A">
        <w:rPr>
          <w:rFonts w:ascii="Amasis MT Pro" w:hAnsi="Amasis MT Pro"/>
          <w:sz w:val="22"/>
          <w:szCs w:val="22"/>
        </w:rPr>
        <w:t xml:space="preserve"> The prevalence of IBD-SpA association was 14%. The mean age was 42 years (range 28–60), with a male predominance (sex ratio M/F = 1.8). The mean interval between IBD and SpA diagnosis was 5 years. Of the 17 patients, 94% had Crohn's disease, and 6% had ulcerative colitis. Spinal involvement (sacroiliitis) was present in all cases, with bilateral sacroiliitis observed in all patients. The majority of patients were on combination therapy with TNF-</w:t>
      </w:r>
      <w:r w:rsidRPr="00E3099A">
        <w:rPr>
          <w:rFonts w:ascii="Cambria" w:hAnsi="Cambria" w:cs="Cambria"/>
          <w:sz w:val="22"/>
          <w:szCs w:val="22"/>
        </w:rPr>
        <w:t>α</w:t>
      </w:r>
      <w:r w:rsidRPr="00E3099A">
        <w:rPr>
          <w:rFonts w:ascii="Amasis MT Pro" w:hAnsi="Amasis MT Pro"/>
          <w:sz w:val="22"/>
          <w:szCs w:val="22"/>
        </w:rPr>
        <w:t xml:space="preserve"> inhibitors (adalimumab, infliximab, etanercept) and immunosuppressive agents (azathioprine, methotrexate). Treatment resulted in favorable outcomes for both IBD and SpA, with 70% of patients showing clinical improvement in IBD and 100% improvement in SpA.</w:t>
      </w:r>
    </w:p>
    <w:p w14:paraId="20BE586B" w14:textId="4152C92D" w:rsidR="00BA6B83" w:rsidRDefault="00BA6B83" w:rsidP="00BA6B83">
      <w:pPr>
        <w:pStyle w:val="NormalWeb"/>
      </w:pPr>
      <w:r w:rsidRPr="00E3099A">
        <w:rPr>
          <w:rStyle w:val="Strong"/>
          <w:rFonts w:ascii="Amasis MT Pro" w:hAnsi="Amasis MT Pro"/>
          <w:sz w:val="22"/>
          <w:szCs w:val="22"/>
        </w:rPr>
        <w:t>Conclusion:</w:t>
      </w:r>
      <w:r w:rsidRPr="00E3099A">
        <w:rPr>
          <w:rFonts w:ascii="Amasis MT Pro" w:hAnsi="Amasis MT Pro"/>
          <w:sz w:val="22"/>
          <w:szCs w:val="22"/>
        </w:rPr>
        <w:t xml:space="preserve"> The association of SpA and IBD is frequent, and early diagnosis, as well as timely treatment with TNF-</w:t>
      </w:r>
      <w:r w:rsidRPr="00E3099A">
        <w:rPr>
          <w:rFonts w:ascii="Cambria" w:hAnsi="Cambria" w:cs="Cambria"/>
          <w:sz w:val="22"/>
          <w:szCs w:val="22"/>
        </w:rPr>
        <w:t>α</w:t>
      </w:r>
      <w:r w:rsidRPr="00E3099A">
        <w:rPr>
          <w:rFonts w:ascii="Amasis MT Pro" w:hAnsi="Amasis MT Pro"/>
          <w:sz w:val="22"/>
          <w:szCs w:val="22"/>
        </w:rPr>
        <w:t xml:space="preserve"> inhibitors, provides effective control of both diseases. Regular screening for joint involvement in IBD patients and vice versa is recommended.</w:t>
      </w:r>
      <w:r>
        <w:t xml:space="preserve"> </w:t>
      </w:r>
    </w:p>
    <w:p w14:paraId="174B623C" w14:textId="2B0573C6" w:rsidR="00631741" w:rsidRDefault="00631741"/>
    <w:p w14:paraId="0B373731" w14:textId="1BC96E55" w:rsidR="00E3099A" w:rsidRPr="00BA6B83" w:rsidRDefault="00E3099A">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199A6B01" wp14:editId="1591927F">
            <wp:simplePos x="0" y="0"/>
            <wp:positionH relativeFrom="margin">
              <wp:align>right</wp:align>
            </wp:positionH>
            <wp:positionV relativeFrom="margin">
              <wp:posOffset>7353935</wp:posOffset>
            </wp:positionV>
            <wp:extent cx="575818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581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3099A" w:rsidRPr="00BA6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83"/>
    <w:rsid w:val="00631741"/>
    <w:rsid w:val="00A8062E"/>
    <w:rsid w:val="00B25FE8"/>
    <w:rsid w:val="00BA6B83"/>
    <w:rsid w:val="00E3099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4DCF"/>
  <w15:chartTrackingRefBased/>
  <w15:docId w15:val="{93154E49-7B3B-4840-B4CE-E47D9AF4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B83"/>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BA6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7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KH</dc:creator>
  <cp:keywords/>
  <dc:description/>
  <cp:lastModifiedBy>Yara Abi Ghanem</cp:lastModifiedBy>
  <cp:revision>2</cp:revision>
  <dcterms:created xsi:type="dcterms:W3CDTF">2025-04-18T07:31:00Z</dcterms:created>
  <dcterms:modified xsi:type="dcterms:W3CDTF">2025-04-18T07:31:00Z</dcterms:modified>
</cp:coreProperties>
</file>