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1FBD" w14:textId="2BA0E4C1" w:rsidR="00592E6E" w:rsidRDefault="00592E6E" w:rsidP="00592E6E">
      <w:pPr>
        <w:rPr>
          <w:rStyle w:val="Strong"/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Amasis MT Pro" w:eastAsia="Calibri" w:hAnsi="Amasis MT Pro" w:cs="Times New Roman"/>
          <w:b/>
          <w:bCs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6ADEA468" wp14:editId="79722922">
            <wp:simplePos x="0" y="0"/>
            <wp:positionH relativeFrom="margin">
              <wp:posOffset>-68580</wp:posOffset>
            </wp:positionH>
            <wp:positionV relativeFrom="margin">
              <wp:posOffset>-358140</wp:posOffset>
            </wp:positionV>
            <wp:extent cx="5894705" cy="7524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61A7647" w14:textId="77777777" w:rsidR="00592E6E" w:rsidRDefault="00592E6E" w:rsidP="00592E6E">
      <w:pPr>
        <w:rPr>
          <w:rStyle w:val="Strong"/>
          <w:rFonts w:ascii="Amasis MT Pro" w:eastAsia="Times New Roman" w:hAnsi="Amasis MT Pro" w:cs="Times New Roman"/>
          <w:lang w:val="en-US"/>
        </w:rPr>
      </w:pPr>
    </w:p>
    <w:p w14:paraId="1332B95A" w14:textId="20130E5B" w:rsidR="00592E6E" w:rsidRPr="00592E6E" w:rsidRDefault="00592E6E" w:rsidP="00592E6E">
      <w:pPr>
        <w:rPr>
          <w:rStyle w:val="Strong"/>
          <w:rFonts w:ascii="Amasis MT Pro" w:eastAsia="Times New Roman" w:hAnsi="Amasis MT Pro" w:cs="Times New Roman"/>
          <w:lang w:val="en-US"/>
        </w:rPr>
      </w:pPr>
      <w:r w:rsidRPr="00592E6E">
        <w:rPr>
          <w:rStyle w:val="Strong"/>
          <w:rFonts w:ascii="Amasis MT Pro" w:eastAsia="Times New Roman" w:hAnsi="Amasis MT Pro" w:cs="Times New Roman"/>
          <w:lang w:val="en-US"/>
        </w:rPr>
        <w:t>6132</w:t>
      </w:r>
    </w:p>
    <w:p w14:paraId="092ED10E" w14:textId="77777777" w:rsidR="00592E6E" w:rsidRPr="00592E6E" w:rsidRDefault="00592E6E" w:rsidP="00D76606">
      <w:pPr>
        <w:jc w:val="center"/>
        <w:rPr>
          <w:rStyle w:val="Strong"/>
          <w:rFonts w:ascii="Amasis MT Pro" w:eastAsia="Times New Roman" w:hAnsi="Amasis MT Pro" w:cs="Times New Roman"/>
          <w:lang w:val="en-US"/>
        </w:rPr>
      </w:pPr>
    </w:p>
    <w:p w14:paraId="192DDB30" w14:textId="66B6AD9A" w:rsidR="001D06C5" w:rsidRPr="00592E6E" w:rsidRDefault="00D76606" w:rsidP="00D76606">
      <w:pPr>
        <w:jc w:val="center"/>
        <w:rPr>
          <w:rStyle w:val="Strong"/>
          <w:rFonts w:ascii="Amasis MT Pro" w:eastAsia="Times New Roman" w:hAnsi="Amasis MT Pro" w:cs="Times New Roman"/>
        </w:rPr>
      </w:pPr>
      <w:r w:rsidRPr="00592E6E">
        <w:rPr>
          <w:rStyle w:val="Strong"/>
          <w:rFonts w:ascii="Amasis MT Pro" w:eastAsia="Times New Roman" w:hAnsi="Amasis MT Pro" w:cs="Times New Roman"/>
          <w:lang w:val="en-US"/>
        </w:rPr>
        <w:t>Monthly vs. Weekly Bisphosphonates: What Do Patients Prefer?</w:t>
      </w:r>
    </w:p>
    <w:p w14:paraId="0F3E8467" w14:textId="77777777" w:rsidR="00B355EF" w:rsidRPr="00592E6E" w:rsidRDefault="00B355EF" w:rsidP="00D76606">
      <w:pPr>
        <w:jc w:val="both"/>
        <w:rPr>
          <w:rFonts w:ascii="Amasis MT Pro" w:eastAsia="Times New Roman" w:hAnsi="Amasis MT Pro" w:cs="Times New Roman"/>
          <w:lang w:val="en-US"/>
        </w:rPr>
      </w:pPr>
      <w:r w:rsidRPr="00592E6E">
        <w:rPr>
          <w:rStyle w:val="Strong"/>
          <w:rFonts w:ascii="Amasis MT Pro" w:eastAsia="Times New Roman" w:hAnsi="Amasis MT Pro" w:cs="Times New Roman"/>
          <w:lang w:val="en-US"/>
        </w:rPr>
        <w:t>Introduction</w:t>
      </w:r>
      <w:r w:rsidRPr="00592E6E">
        <w:rPr>
          <w:rStyle w:val="Strong"/>
          <w:rFonts w:ascii="Amasis MT Pro" w:hAnsi="Amasis MT Pro"/>
          <w:lang w:val="en-US"/>
        </w:rPr>
        <w:t>:</w:t>
      </w:r>
      <w:r w:rsidRPr="00592E6E">
        <w:rPr>
          <w:rFonts w:ascii="Amasis MT Pro" w:hAnsi="Amasis MT Pro"/>
          <w:lang w:val="en-US"/>
        </w:rPr>
        <w:t xml:space="preserve"> </w:t>
      </w:r>
      <w:r w:rsidRPr="00592E6E">
        <w:rPr>
          <w:rFonts w:ascii="Amasis MT Pro" w:eastAsia="Times New Roman" w:hAnsi="Amasis MT Pro" w:cs="Times New Roman"/>
          <w:lang w:val="en-US"/>
        </w:rPr>
        <w:t>Postmenopausal osteoporosis is a common chronic disease. Bisphosphonates are considered the treatment of choice due to their proven effectiveness. As with any chronic disease, patient preference plays a significant role in the long-term adherence to these medications.</w:t>
      </w:r>
    </w:p>
    <w:p w14:paraId="6C6A0D3A" w14:textId="77777777" w:rsidR="00B355EF" w:rsidRPr="00592E6E" w:rsidRDefault="00B355EF" w:rsidP="00D76606">
      <w:pPr>
        <w:jc w:val="both"/>
        <w:rPr>
          <w:rFonts w:ascii="Amasis MT Pro" w:eastAsia="Times New Roman" w:hAnsi="Amasis MT Pro" w:cs="Times New Roman"/>
          <w:lang w:val="en-US"/>
        </w:rPr>
      </w:pPr>
      <w:r w:rsidRPr="00592E6E">
        <w:rPr>
          <w:rStyle w:val="Strong"/>
          <w:rFonts w:ascii="Amasis MT Pro" w:eastAsia="Times New Roman" w:hAnsi="Amasis MT Pro" w:cs="Times New Roman"/>
          <w:lang w:val="en-US"/>
        </w:rPr>
        <w:t>Objective:</w:t>
      </w:r>
      <w:r w:rsidRPr="00592E6E">
        <w:rPr>
          <w:rStyle w:val="Strong"/>
          <w:rFonts w:ascii="Amasis MT Pro" w:hAnsi="Amasis MT Pro"/>
          <w:lang w:val="en-US"/>
        </w:rPr>
        <w:t xml:space="preserve">  </w:t>
      </w:r>
      <w:r w:rsidRPr="00592E6E">
        <w:rPr>
          <w:rFonts w:ascii="Amasis MT Pro" w:eastAsia="Times New Roman" w:hAnsi="Amasis MT Pro" w:cs="Times New Roman"/>
          <w:lang w:val="en-US"/>
        </w:rPr>
        <w:t>The aim of this study was to evaluate patient preference between monthly ibandronate and weekly alendronate administration.</w:t>
      </w:r>
    </w:p>
    <w:p w14:paraId="3B8A518C" w14:textId="77777777" w:rsidR="00B355EF" w:rsidRPr="00592E6E" w:rsidRDefault="00B355EF" w:rsidP="00D76606">
      <w:pPr>
        <w:pStyle w:val="NormalWeb"/>
        <w:jc w:val="both"/>
        <w:rPr>
          <w:rFonts w:ascii="Amasis MT Pro" w:hAnsi="Amasis MT Pro"/>
          <w:sz w:val="22"/>
          <w:szCs w:val="22"/>
          <w:lang w:val="en-US"/>
        </w:rPr>
      </w:pPr>
      <w:r w:rsidRPr="00592E6E">
        <w:rPr>
          <w:rStyle w:val="Strong"/>
          <w:rFonts w:ascii="Amasis MT Pro" w:hAnsi="Amasis MT Pro"/>
          <w:sz w:val="22"/>
          <w:szCs w:val="22"/>
          <w:lang w:val="en-US"/>
        </w:rPr>
        <w:t>Materials and Methods:</w:t>
      </w:r>
      <w:r w:rsidRPr="00592E6E">
        <w:rPr>
          <w:rFonts w:ascii="Amasis MT Pro" w:hAnsi="Amasis MT Pro"/>
          <w:sz w:val="22"/>
          <w:szCs w:val="22"/>
          <w:lang w:val="en-US"/>
        </w:rPr>
        <w:t xml:space="preserve"> This was a prospective, comparative, single-center study conducted within the rheumatology department of </w:t>
      </w:r>
      <w:r w:rsidR="0010051F" w:rsidRPr="00592E6E">
        <w:rPr>
          <w:rFonts w:ascii="Amasis MT Pro" w:hAnsi="Amasis MT Pro"/>
          <w:sz w:val="22"/>
          <w:szCs w:val="22"/>
          <w:lang w:val="en-US"/>
        </w:rPr>
        <w:t xml:space="preserve">a university hospital, over </w:t>
      </w:r>
      <w:proofErr w:type="gramStart"/>
      <w:r w:rsidR="0010051F" w:rsidRPr="00592E6E">
        <w:rPr>
          <w:rFonts w:ascii="Amasis MT Pro" w:hAnsi="Amasis MT Pro"/>
          <w:sz w:val="22"/>
          <w:szCs w:val="22"/>
          <w:lang w:val="en-US"/>
        </w:rPr>
        <w:t>a</w:t>
      </w:r>
      <w:proofErr w:type="gramEnd"/>
      <w:r w:rsidR="0010051F" w:rsidRPr="00592E6E">
        <w:rPr>
          <w:rFonts w:ascii="Amasis MT Pro" w:hAnsi="Amasis MT Pro"/>
          <w:sz w:val="22"/>
          <w:szCs w:val="22"/>
          <w:lang w:val="en-US"/>
        </w:rPr>
        <w:t xml:space="preserve"> 18</w:t>
      </w:r>
      <w:r w:rsidRPr="00592E6E">
        <w:rPr>
          <w:rFonts w:ascii="Amasis MT Pro" w:hAnsi="Amasis MT Pro"/>
          <w:sz w:val="22"/>
          <w:szCs w:val="22"/>
          <w:lang w:val="en-US"/>
        </w:rPr>
        <w:t xml:space="preserve">-month study period from March 2023 to </w:t>
      </w:r>
      <w:r w:rsidR="0010051F" w:rsidRPr="00592E6E">
        <w:rPr>
          <w:rFonts w:ascii="Amasis MT Pro" w:hAnsi="Amasis MT Pro"/>
          <w:sz w:val="22"/>
          <w:szCs w:val="22"/>
          <w:lang w:val="en-US"/>
        </w:rPr>
        <w:t xml:space="preserve">September </w:t>
      </w:r>
      <w:r w:rsidRPr="00592E6E">
        <w:rPr>
          <w:rFonts w:ascii="Amasis MT Pro" w:hAnsi="Amasis MT Pro"/>
          <w:sz w:val="22"/>
          <w:szCs w:val="22"/>
          <w:lang w:val="en-US"/>
        </w:rPr>
        <w:t xml:space="preserve">2024. Inclusion criteria were postmenopausal women diagnosed with osteoporosis </w:t>
      </w:r>
      <w:r w:rsidR="0010051F" w:rsidRPr="00592E6E">
        <w:rPr>
          <w:rFonts w:ascii="Amasis MT Pro" w:hAnsi="Amasis MT Pro"/>
          <w:sz w:val="22"/>
          <w:szCs w:val="22"/>
          <w:lang w:val="en-US"/>
        </w:rPr>
        <w:t xml:space="preserve">under the prescription of </w:t>
      </w:r>
      <w:r w:rsidRPr="00592E6E">
        <w:rPr>
          <w:rFonts w:ascii="Amasis MT Pro" w:hAnsi="Amasis MT Pro"/>
          <w:sz w:val="22"/>
          <w:szCs w:val="22"/>
          <w:lang w:val="en-US"/>
        </w:rPr>
        <w:t>oral bisphosphonates. Exclusion criteria included patients with osteoporosis due to other causes or those receiving other bone-targeted treatments. The included patients were divided into two groups (Group A and Group B). One group received monthly ibandronate for 6 months, followed by weekly alendronate for 6 months, while the other group followed the reverse treatment sequence.</w:t>
      </w:r>
    </w:p>
    <w:p w14:paraId="44673BDB" w14:textId="77777777" w:rsidR="0010051F" w:rsidRPr="00592E6E" w:rsidRDefault="00B27A86" w:rsidP="00D76606">
      <w:pPr>
        <w:pStyle w:val="NormalWeb"/>
        <w:jc w:val="both"/>
        <w:rPr>
          <w:rFonts w:ascii="Amasis MT Pro" w:hAnsi="Amasis MT Pro"/>
          <w:sz w:val="22"/>
          <w:szCs w:val="22"/>
          <w:lang w:val="en-US"/>
        </w:rPr>
      </w:pPr>
      <w:r w:rsidRPr="00592E6E">
        <w:rPr>
          <w:rStyle w:val="Strong"/>
          <w:rFonts w:ascii="Amasis MT Pro" w:hAnsi="Amasis MT Pro"/>
          <w:sz w:val="22"/>
          <w:szCs w:val="22"/>
          <w:lang w:val="en-US"/>
        </w:rPr>
        <w:t>Results</w:t>
      </w:r>
      <w:r w:rsidR="008356E5" w:rsidRPr="00592E6E">
        <w:rPr>
          <w:rStyle w:val="Strong"/>
          <w:rFonts w:ascii="Amasis MT Pro" w:hAnsi="Amasis MT Pro"/>
          <w:sz w:val="22"/>
          <w:szCs w:val="22"/>
          <w:lang w:val="en-US"/>
        </w:rPr>
        <w:t>:</w:t>
      </w:r>
      <w:r w:rsidR="008356E5" w:rsidRPr="00592E6E">
        <w:rPr>
          <w:rFonts w:ascii="Amasis MT Pro" w:hAnsi="Amasis MT Pro"/>
          <w:sz w:val="22"/>
          <w:szCs w:val="22"/>
          <w:lang w:val="en-US"/>
        </w:rPr>
        <w:t xml:space="preserve"> 300</w:t>
      </w:r>
      <w:r w:rsidR="0010051F" w:rsidRPr="00592E6E">
        <w:rPr>
          <w:rFonts w:ascii="Amasis MT Pro" w:hAnsi="Amasis MT Pro"/>
          <w:sz w:val="22"/>
          <w:szCs w:val="22"/>
          <w:lang w:val="en-US"/>
        </w:rPr>
        <w:t xml:space="preserve"> patients were included, with </w:t>
      </w:r>
      <w:r w:rsidRPr="00592E6E">
        <w:rPr>
          <w:rFonts w:ascii="Amasis MT Pro" w:hAnsi="Amasis MT Pro"/>
          <w:sz w:val="22"/>
          <w:szCs w:val="22"/>
          <w:lang w:val="en-US"/>
        </w:rPr>
        <w:t>1</w:t>
      </w:r>
      <w:r w:rsidR="0010051F" w:rsidRPr="00592E6E">
        <w:rPr>
          <w:rFonts w:ascii="Amasis MT Pro" w:hAnsi="Amasis MT Pro"/>
          <w:sz w:val="22"/>
          <w:szCs w:val="22"/>
          <w:lang w:val="en-US"/>
        </w:rPr>
        <w:t xml:space="preserve">50 cases in each group. 89.7% of the patients expressed a preference for either ibandronate or </w:t>
      </w:r>
      <w:proofErr w:type="spellStart"/>
      <w:r w:rsidR="0010051F" w:rsidRPr="00592E6E">
        <w:rPr>
          <w:rFonts w:ascii="Amasis MT Pro" w:hAnsi="Amasis MT Pro"/>
          <w:sz w:val="22"/>
          <w:szCs w:val="22"/>
          <w:lang w:val="en-US"/>
        </w:rPr>
        <w:t>alendronic</w:t>
      </w:r>
      <w:proofErr w:type="spellEnd"/>
      <w:r w:rsidR="0010051F" w:rsidRPr="00592E6E">
        <w:rPr>
          <w:rFonts w:ascii="Amasis MT Pro" w:hAnsi="Amasis MT Pro"/>
          <w:sz w:val="22"/>
          <w:szCs w:val="22"/>
          <w:lang w:val="en-US"/>
        </w:rPr>
        <w:t xml:space="preserve"> acid, while 10.3% had no preference between the two drugs. Among the patients who expre</w:t>
      </w:r>
      <w:r w:rsidRPr="00592E6E">
        <w:rPr>
          <w:rFonts w:ascii="Amasis MT Pro" w:hAnsi="Amasis MT Pro"/>
          <w:sz w:val="22"/>
          <w:szCs w:val="22"/>
          <w:lang w:val="en-US"/>
        </w:rPr>
        <w:t>ssed a preference, 73.5% preferred</w:t>
      </w:r>
      <w:r w:rsidR="0010051F" w:rsidRPr="00592E6E">
        <w:rPr>
          <w:rFonts w:ascii="Amasis MT Pro" w:hAnsi="Amasis MT Pro"/>
          <w:sz w:val="22"/>
          <w:szCs w:val="22"/>
          <w:lang w:val="en-US"/>
        </w:rPr>
        <w:t xml:space="preserve"> ibandronate, compared to 26.5% for the alendronate group, with a statistically significant difference (&lt;0.0002). The most common reasons for choosing ibandronate were: better long-term adherence (71.4%), an improved lifestyle due to the monthly regimen (70%), and better tolerance to side effects (16.3%). In total, a significantly higher number of patients found monthly ibandronate to be more convenient (p &lt; 0.0001).</w:t>
      </w:r>
    </w:p>
    <w:p w14:paraId="47700BC9" w14:textId="77777777" w:rsidR="0010051F" w:rsidRPr="00592E6E" w:rsidRDefault="0010051F" w:rsidP="00D76606">
      <w:pPr>
        <w:pStyle w:val="NormalWeb"/>
        <w:jc w:val="both"/>
        <w:rPr>
          <w:rFonts w:ascii="Amasis MT Pro" w:hAnsi="Amasis MT Pro"/>
          <w:sz w:val="22"/>
          <w:szCs w:val="22"/>
        </w:rPr>
      </w:pPr>
      <w:r w:rsidRPr="00592E6E">
        <w:rPr>
          <w:rStyle w:val="Strong"/>
          <w:rFonts w:ascii="Amasis MT Pro" w:hAnsi="Amasis MT Pro"/>
          <w:sz w:val="22"/>
          <w:szCs w:val="22"/>
          <w:lang w:val="en-US"/>
        </w:rPr>
        <w:t>Conclusion:</w:t>
      </w:r>
      <w:r w:rsidRPr="00592E6E">
        <w:rPr>
          <w:rFonts w:ascii="Amasis MT Pro" w:hAnsi="Amasis MT Pro"/>
          <w:sz w:val="22"/>
          <w:szCs w:val="22"/>
          <w:lang w:val="en-US"/>
        </w:rPr>
        <w:br/>
        <w:t xml:space="preserve">In our series, a significantly higher number of women treated for postmenopausal osteoporosis expressed a preference for monthly ibandronate treatment compared to weekly alendronate treatment. </w:t>
      </w:r>
      <w:r w:rsidRPr="00592E6E">
        <w:rPr>
          <w:rFonts w:ascii="Amasis MT Pro" w:hAnsi="Amasis MT Pro"/>
          <w:sz w:val="22"/>
          <w:szCs w:val="22"/>
        </w:rPr>
        <w:t xml:space="preserve">This </w:t>
      </w:r>
      <w:proofErr w:type="spellStart"/>
      <w:r w:rsidRPr="00592E6E">
        <w:rPr>
          <w:rFonts w:ascii="Amasis MT Pro" w:hAnsi="Amasis MT Pro"/>
          <w:sz w:val="22"/>
          <w:szCs w:val="22"/>
        </w:rPr>
        <w:t>could</w:t>
      </w:r>
      <w:proofErr w:type="spellEnd"/>
      <w:r w:rsidRPr="00592E6E">
        <w:rPr>
          <w:rFonts w:ascii="Amasis MT Pro" w:hAnsi="Amasis MT Pro"/>
          <w:sz w:val="22"/>
          <w:szCs w:val="22"/>
        </w:rPr>
        <w:t xml:space="preserve"> lead to </w:t>
      </w:r>
      <w:proofErr w:type="spellStart"/>
      <w:r w:rsidRPr="00592E6E">
        <w:rPr>
          <w:rFonts w:ascii="Amasis MT Pro" w:hAnsi="Amasis MT Pro"/>
          <w:sz w:val="22"/>
          <w:szCs w:val="22"/>
        </w:rPr>
        <w:t>better</w:t>
      </w:r>
      <w:proofErr w:type="spellEnd"/>
      <w:r w:rsidRPr="00592E6E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592E6E">
        <w:rPr>
          <w:rFonts w:ascii="Amasis MT Pro" w:hAnsi="Amasis MT Pro"/>
          <w:sz w:val="22"/>
          <w:szCs w:val="22"/>
        </w:rPr>
        <w:t>adherence</w:t>
      </w:r>
      <w:proofErr w:type="spellEnd"/>
      <w:r w:rsidRPr="00592E6E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592E6E">
        <w:rPr>
          <w:rFonts w:ascii="Amasis MT Pro" w:hAnsi="Amasis MT Pro"/>
          <w:sz w:val="22"/>
          <w:szCs w:val="22"/>
        </w:rPr>
        <w:t>among</w:t>
      </w:r>
      <w:proofErr w:type="spellEnd"/>
      <w:r w:rsidRPr="00592E6E">
        <w:rPr>
          <w:rFonts w:ascii="Amasis MT Pro" w:hAnsi="Amasis MT Pro"/>
          <w:sz w:val="22"/>
          <w:szCs w:val="22"/>
        </w:rPr>
        <w:t xml:space="preserve"> </w:t>
      </w:r>
      <w:proofErr w:type="spellStart"/>
      <w:r w:rsidRPr="00592E6E">
        <w:rPr>
          <w:rFonts w:ascii="Amasis MT Pro" w:hAnsi="Amasis MT Pro"/>
          <w:sz w:val="22"/>
          <w:szCs w:val="22"/>
        </w:rPr>
        <w:t>these</w:t>
      </w:r>
      <w:proofErr w:type="spellEnd"/>
      <w:r w:rsidRPr="00592E6E">
        <w:rPr>
          <w:rFonts w:ascii="Amasis MT Pro" w:hAnsi="Amasis MT Pro"/>
          <w:sz w:val="22"/>
          <w:szCs w:val="22"/>
        </w:rPr>
        <w:t xml:space="preserve"> patients.</w:t>
      </w:r>
    </w:p>
    <w:p w14:paraId="10B4D905" w14:textId="5556A081" w:rsidR="00B355EF" w:rsidRPr="00B355EF" w:rsidRDefault="00592E6E" w:rsidP="00592E6E">
      <w:pPr>
        <w:pStyle w:val="NormalWeb"/>
        <w:rPr>
          <w:lang w:val="en-US"/>
        </w:rPr>
      </w:pPr>
      <w:r w:rsidRPr="003D2A3B">
        <w:rPr>
          <w:rFonts w:ascii="Amasis MT Pro" w:eastAsia="Calibri" w:hAnsi="Amasis MT Pro"/>
          <w:lang w:val="en-GB"/>
        </w:rPr>
        <w:drawing>
          <wp:anchor distT="0" distB="0" distL="114300" distR="114300" simplePos="0" relativeHeight="251663360" behindDoc="0" locked="0" layoutInCell="1" allowOverlap="1" wp14:anchorId="58DF6784" wp14:editId="51020388">
            <wp:simplePos x="0" y="0"/>
            <wp:positionH relativeFrom="margin">
              <wp:posOffset>-635</wp:posOffset>
            </wp:positionH>
            <wp:positionV relativeFrom="margin">
              <wp:posOffset>7748905</wp:posOffset>
            </wp:positionV>
            <wp:extent cx="5758180" cy="1073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t="3454" r="1491" b="7316"/>
                    <a:stretch/>
                  </pic:blipFill>
                  <pic:spPr bwMode="auto">
                    <a:xfrm>
                      <a:off x="0" y="0"/>
                      <a:ext cx="5758180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55EF" w:rsidRPr="00B35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EF"/>
    <w:rsid w:val="0010051F"/>
    <w:rsid w:val="001D06C5"/>
    <w:rsid w:val="002B11B3"/>
    <w:rsid w:val="002E4C52"/>
    <w:rsid w:val="00592E6E"/>
    <w:rsid w:val="008356E5"/>
    <w:rsid w:val="00B27A86"/>
    <w:rsid w:val="00B355EF"/>
    <w:rsid w:val="00D76606"/>
    <w:rsid w:val="00F2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19C5"/>
  <w15:docId w15:val="{A5C2C205-1738-4F62-85C8-2CF51232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55EF"/>
    <w:rPr>
      <w:b/>
      <w:bCs/>
    </w:rPr>
  </w:style>
  <w:style w:type="paragraph" w:styleId="NormalWeb">
    <w:name w:val="Normal (Web)"/>
    <w:basedOn w:val="Normal"/>
    <w:uiPriority w:val="99"/>
    <w:unhideWhenUsed/>
    <w:rsid w:val="00B3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5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5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15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9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44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86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464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860db96-b53f-4bd7-8137-e09357cab268}" enabled="1" method="Standard" siteId="{b78d03e6-f6a2-4cff-83be-847d1a6453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Yara Abi Ghanem</cp:lastModifiedBy>
  <cp:revision>2</cp:revision>
  <dcterms:created xsi:type="dcterms:W3CDTF">2025-04-17T16:38:00Z</dcterms:created>
  <dcterms:modified xsi:type="dcterms:W3CDTF">2025-04-17T16:38:00Z</dcterms:modified>
</cp:coreProperties>
</file>