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84E69" w14:textId="7F807B1A" w:rsidR="00EF374E" w:rsidRDefault="00EF374E" w:rsidP="007B795A">
      <w:pPr>
        <w:spacing w:after="0"/>
        <w:jc w:val="center"/>
        <w:rPr>
          <w:rFonts w:asciiTheme="majorBidi" w:hAnsiTheme="majorBidi" w:cstheme="majorBidi"/>
          <w:b/>
          <w:bCs/>
          <w:sz w:val="28"/>
          <w:szCs w:val="28"/>
          <w:lang w:val="en-US"/>
        </w:rPr>
      </w:pPr>
      <w:r>
        <w:rPr>
          <w:rFonts w:ascii="Amasis MT Pro" w:eastAsia="Calibri" w:hAnsi="Amasis MT Pro" w:cs="Times New Roman"/>
          <w:b/>
          <w:bCs/>
          <w:noProof/>
          <w:lang w:val="en-GB"/>
        </w:rPr>
        <w:drawing>
          <wp:anchor distT="0" distB="0" distL="114300" distR="114300" simplePos="0" relativeHeight="251659264" behindDoc="0" locked="0" layoutInCell="1" allowOverlap="1" wp14:anchorId="3345F465" wp14:editId="317F31DE">
            <wp:simplePos x="0" y="0"/>
            <wp:positionH relativeFrom="margin">
              <wp:posOffset>68580</wp:posOffset>
            </wp:positionH>
            <wp:positionV relativeFrom="margin">
              <wp:posOffset>-426720</wp:posOffset>
            </wp:positionV>
            <wp:extent cx="5894705" cy="7524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a:extLst>
                        <a:ext uri="{28A0092B-C50C-407E-A947-70E740481C1C}">
                          <a14:useLocalDpi xmlns:a14="http://schemas.microsoft.com/office/drawing/2010/main" val="0"/>
                        </a:ext>
                      </a:extLst>
                    </a:blip>
                    <a:stretch>
                      <a:fillRect/>
                    </a:stretch>
                  </pic:blipFill>
                  <pic:spPr>
                    <a:xfrm>
                      <a:off x="0" y="0"/>
                      <a:ext cx="5894705" cy="752475"/>
                    </a:xfrm>
                    <a:prstGeom prst="rect">
                      <a:avLst/>
                    </a:prstGeom>
                  </pic:spPr>
                </pic:pic>
              </a:graphicData>
            </a:graphic>
            <wp14:sizeRelH relativeFrom="margin">
              <wp14:pctWidth>0</wp14:pctWidth>
            </wp14:sizeRelH>
          </wp:anchor>
        </w:drawing>
      </w:r>
    </w:p>
    <w:p w14:paraId="26776034" w14:textId="43286391" w:rsidR="00EF374E" w:rsidRDefault="00EF374E" w:rsidP="00EF374E">
      <w:pPr>
        <w:spacing w:after="0"/>
        <w:rPr>
          <w:rFonts w:asciiTheme="majorBidi" w:hAnsiTheme="majorBidi" w:cstheme="majorBidi"/>
          <w:b/>
          <w:bCs/>
          <w:sz w:val="28"/>
          <w:szCs w:val="28"/>
          <w:lang w:val="en-US"/>
        </w:rPr>
      </w:pPr>
      <w:r>
        <w:rPr>
          <w:rFonts w:asciiTheme="majorBidi" w:hAnsiTheme="majorBidi" w:cstheme="majorBidi"/>
          <w:b/>
          <w:bCs/>
          <w:sz w:val="28"/>
          <w:szCs w:val="28"/>
          <w:lang w:val="en-US"/>
        </w:rPr>
        <w:t>6425</w:t>
      </w:r>
    </w:p>
    <w:p w14:paraId="73C87FFA" w14:textId="6DE28E08" w:rsidR="00EF374E" w:rsidRDefault="00EF374E" w:rsidP="00EF374E">
      <w:pPr>
        <w:spacing w:after="0"/>
        <w:rPr>
          <w:rFonts w:asciiTheme="majorBidi" w:hAnsiTheme="majorBidi" w:cstheme="majorBidi"/>
          <w:b/>
          <w:bCs/>
          <w:sz w:val="28"/>
          <w:szCs w:val="28"/>
          <w:lang w:val="en-US"/>
        </w:rPr>
      </w:pPr>
    </w:p>
    <w:p w14:paraId="276FBE9F" w14:textId="77777777" w:rsidR="00EF374E" w:rsidRPr="00EF374E" w:rsidRDefault="00EF374E" w:rsidP="00EF374E">
      <w:pPr>
        <w:spacing w:after="0"/>
        <w:rPr>
          <w:rFonts w:ascii="Amasis MT Pro" w:hAnsi="Amasis MT Pro" w:cstheme="majorBidi"/>
          <w:b/>
          <w:bCs/>
          <w:lang w:val="en-US"/>
        </w:rPr>
      </w:pPr>
    </w:p>
    <w:p w14:paraId="18ED1238" w14:textId="407763F3" w:rsidR="00AD6BD3" w:rsidRPr="00EF374E" w:rsidRDefault="007B795A" w:rsidP="00EF374E">
      <w:pPr>
        <w:spacing w:after="0"/>
        <w:jc w:val="center"/>
        <w:rPr>
          <w:rFonts w:ascii="Amasis MT Pro" w:hAnsi="Amasis MT Pro" w:cstheme="majorBidi"/>
          <w:b/>
          <w:bCs/>
          <w:lang w:val="en-US"/>
        </w:rPr>
      </w:pPr>
      <w:r w:rsidRPr="00EF374E">
        <w:rPr>
          <w:rFonts w:ascii="Amasis MT Pro" w:hAnsi="Amasis MT Pro" w:cstheme="majorBidi"/>
          <w:b/>
          <w:bCs/>
          <w:lang w:val="en-US"/>
        </w:rPr>
        <w:t>Pediatric uveitis: study of 132 cases</w:t>
      </w:r>
    </w:p>
    <w:p w14:paraId="59E0A68A" w14:textId="77777777" w:rsidR="00AD6BD3" w:rsidRPr="00EF374E" w:rsidRDefault="00AD6BD3" w:rsidP="00AD6BD3">
      <w:pPr>
        <w:ind w:left="737"/>
        <w:rPr>
          <w:rFonts w:ascii="Amasis MT Pro" w:hAnsi="Amasis MT Pro" w:cstheme="majorBidi"/>
          <w:b/>
          <w:bCs/>
          <w:lang w:val="en-US"/>
        </w:rPr>
      </w:pPr>
    </w:p>
    <w:p w14:paraId="1A61DED1" w14:textId="77777777" w:rsidR="00AD6BD3" w:rsidRPr="00EF374E" w:rsidRDefault="00AD6BD3" w:rsidP="007B795A">
      <w:pPr>
        <w:ind w:left="737"/>
        <w:jc w:val="both"/>
        <w:rPr>
          <w:rFonts w:ascii="Amasis MT Pro" w:hAnsi="Amasis MT Pro" w:cstheme="majorBidi"/>
          <w:b/>
          <w:bCs/>
          <w:lang w:val="en-US"/>
        </w:rPr>
      </w:pPr>
      <w:r w:rsidRPr="00EF374E">
        <w:rPr>
          <w:rFonts w:ascii="Amasis MT Pro" w:hAnsi="Amasis MT Pro" w:cstheme="majorBidi"/>
          <w:b/>
          <w:bCs/>
          <w:lang w:val="en-US"/>
        </w:rPr>
        <w:t>Introduction</w:t>
      </w:r>
      <w:r w:rsidR="00D00AE2" w:rsidRPr="00EF374E">
        <w:rPr>
          <w:rFonts w:ascii="Amasis MT Pro" w:hAnsi="Amasis MT Pro" w:cstheme="majorBidi"/>
          <w:b/>
          <w:bCs/>
          <w:lang w:val="en-US"/>
        </w:rPr>
        <w:t>:</w:t>
      </w:r>
    </w:p>
    <w:p w14:paraId="37ADB3DF" w14:textId="77777777" w:rsidR="00AD6BD3" w:rsidRPr="00EF374E" w:rsidRDefault="00AD6BD3" w:rsidP="007B795A">
      <w:pPr>
        <w:ind w:left="737"/>
        <w:jc w:val="both"/>
        <w:rPr>
          <w:rFonts w:ascii="Amasis MT Pro" w:hAnsi="Amasis MT Pro" w:cstheme="majorBidi"/>
          <w:lang w:val="en-US"/>
        </w:rPr>
      </w:pPr>
      <w:r w:rsidRPr="00EF374E">
        <w:rPr>
          <w:rFonts w:ascii="Amasis MT Pro" w:hAnsi="Amasis MT Pro" w:cstheme="majorBidi"/>
          <w:lang w:val="en-US"/>
        </w:rPr>
        <w:t xml:space="preserve">Uveitis in children is often a serious condition. Its seriousness lies in its </w:t>
      </w:r>
      <w:proofErr w:type="gramStart"/>
      <w:r w:rsidRPr="00EF374E">
        <w:rPr>
          <w:rFonts w:ascii="Amasis MT Pro" w:hAnsi="Amasis MT Pro" w:cstheme="majorBidi"/>
          <w:lang w:val="en-US"/>
        </w:rPr>
        <w:t>often insidious</w:t>
      </w:r>
      <w:proofErr w:type="gramEnd"/>
      <w:r w:rsidRPr="00EF374E">
        <w:rPr>
          <w:rFonts w:ascii="Amasis MT Pro" w:hAnsi="Amasis MT Pro" w:cstheme="majorBidi"/>
          <w:lang w:val="en-US"/>
        </w:rPr>
        <w:t xml:space="preserve"> presentation frequently leading to its discovery at the stage of complications.</w:t>
      </w:r>
    </w:p>
    <w:p w14:paraId="1DDA317A" w14:textId="77777777" w:rsidR="00AD6BD3" w:rsidRPr="00EF374E" w:rsidRDefault="00AD6BD3" w:rsidP="007B795A">
      <w:pPr>
        <w:ind w:left="737"/>
        <w:jc w:val="both"/>
        <w:rPr>
          <w:rFonts w:ascii="Amasis MT Pro" w:hAnsi="Amasis MT Pro" w:cstheme="majorBidi"/>
          <w:b/>
          <w:bCs/>
          <w:lang w:val="en-US"/>
        </w:rPr>
      </w:pPr>
      <w:r w:rsidRPr="00EF374E">
        <w:rPr>
          <w:rFonts w:ascii="Amasis MT Pro" w:hAnsi="Amasis MT Pro" w:cstheme="majorBidi"/>
          <w:b/>
          <w:bCs/>
          <w:lang w:val="en-US"/>
        </w:rPr>
        <w:t>Object</w:t>
      </w:r>
      <w:r w:rsidR="00DA400A" w:rsidRPr="00EF374E">
        <w:rPr>
          <w:rFonts w:ascii="Amasis MT Pro" w:hAnsi="Amasis MT Pro" w:cstheme="majorBidi"/>
          <w:b/>
          <w:bCs/>
          <w:lang w:val="en-US"/>
        </w:rPr>
        <w:t>ives</w:t>
      </w:r>
      <w:r w:rsidR="00D00AE2" w:rsidRPr="00EF374E">
        <w:rPr>
          <w:rFonts w:ascii="Amasis MT Pro" w:hAnsi="Amasis MT Pro" w:cstheme="majorBidi"/>
          <w:b/>
          <w:bCs/>
          <w:lang w:val="en-US"/>
        </w:rPr>
        <w:t>:</w:t>
      </w:r>
    </w:p>
    <w:p w14:paraId="56A8E964" w14:textId="77777777" w:rsidR="007B795A" w:rsidRPr="00EF374E" w:rsidRDefault="00AD6BD3" w:rsidP="007B795A">
      <w:pPr>
        <w:ind w:left="737"/>
        <w:jc w:val="both"/>
        <w:rPr>
          <w:rFonts w:ascii="Amasis MT Pro" w:hAnsi="Amasis MT Pro" w:cstheme="majorBidi"/>
          <w:b/>
          <w:bCs/>
          <w:lang w:val="en-US"/>
        </w:rPr>
      </w:pPr>
      <w:r w:rsidRPr="00EF374E">
        <w:rPr>
          <w:rFonts w:ascii="Amasis MT Pro" w:hAnsi="Amasis MT Pro" w:cstheme="majorBidi"/>
          <w:lang w:val="en-US"/>
        </w:rPr>
        <w:t>Describ</w:t>
      </w:r>
      <w:r w:rsidR="00AE1BC7" w:rsidRPr="00EF374E">
        <w:rPr>
          <w:rFonts w:ascii="Amasis MT Pro" w:hAnsi="Amasis MT Pro" w:cstheme="majorBidi"/>
          <w:lang w:val="en-US"/>
        </w:rPr>
        <w:t>ing</w:t>
      </w:r>
      <w:r w:rsidRPr="00EF374E">
        <w:rPr>
          <w:rFonts w:ascii="Amasis MT Pro" w:hAnsi="Amasis MT Pro" w:cstheme="majorBidi"/>
          <w:lang w:val="en-US"/>
        </w:rPr>
        <w:t xml:space="preserve"> the epidemiological, clinical, etiological and progressive chara</w:t>
      </w:r>
      <w:r w:rsidR="007B795A" w:rsidRPr="00EF374E">
        <w:rPr>
          <w:rFonts w:ascii="Amasis MT Pro" w:hAnsi="Amasis MT Pro" w:cstheme="majorBidi"/>
          <w:lang w:val="en-US"/>
        </w:rPr>
        <w:t>cteristics of pediatric uveitis.</w:t>
      </w:r>
      <w:r w:rsidR="007B795A" w:rsidRPr="00EF374E">
        <w:rPr>
          <w:rFonts w:ascii="Amasis MT Pro" w:hAnsi="Amasis MT Pro" w:cstheme="majorBidi"/>
          <w:b/>
          <w:bCs/>
          <w:lang w:val="en-US"/>
        </w:rPr>
        <w:t xml:space="preserve"> </w:t>
      </w:r>
    </w:p>
    <w:p w14:paraId="290E7387" w14:textId="77777777" w:rsidR="00AD6BD3" w:rsidRPr="00EF374E" w:rsidRDefault="00AD6BD3" w:rsidP="007B795A">
      <w:pPr>
        <w:ind w:left="737"/>
        <w:jc w:val="both"/>
        <w:rPr>
          <w:rFonts w:ascii="Amasis MT Pro" w:hAnsi="Amasis MT Pro" w:cstheme="majorBidi"/>
          <w:b/>
          <w:bCs/>
          <w:lang w:val="en-US"/>
        </w:rPr>
      </w:pPr>
      <w:r w:rsidRPr="00EF374E">
        <w:rPr>
          <w:rFonts w:ascii="Amasis MT Pro" w:hAnsi="Amasis MT Pro" w:cstheme="majorBidi"/>
          <w:b/>
          <w:bCs/>
          <w:lang w:val="en-US"/>
        </w:rPr>
        <w:t>Materials and methods</w:t>
      </w:r>
      <w:r w:rsidR="00D00AE2" w:rsidRPr="00EF374E">
        <w:rPr>
          <w:rFonts w:ascii="Amasis MT Pro" w:hAnsi="Amasis MT Pro" w:cstheme="majorBidi"/>
          <w:b/>
          <w:bCs/>
          <w:lang w:val="en-US"/>
        </w:rPr>
        <w:t>:</w:t>
      </w:r>
    </w:p>
    <w:p w14:paraId="2A72BF7C" w14:textId="77777777" w:rsidR="00AD6BD3" w:rsidRPr="00EF374E" w:rsidRDefault="00AD6BD3" w:rsidP="005E2430">
      <w:pPr>
        <w:ind w:left="737"/>
        <w:jc w:val="both"/>
        <w:rPr>
          <w:rFonts w:ascii="Amasis MT Pro" w:hAnsi="Amasis MT Pro" w:cstheme="majorBidi"/>
          <w:lang w:val="en-US"/>
        </w:rPr>
      </w:pPr>
      <w:r w:rsidRPr="00EF374E">
        <w:rPr>
          <w:rFonts w:ascii="Amasis MT Pro" w:hAnsi="Amasis MT Pro" w:cstheme="majorBidi"/>
          <w:lang w:val="en-US"/>
        </w:rPr>
        <w:t>Descriptive, retrospective study, spanni</w:t>
      </w:r>
      <w:r w:rsidR="007B795A" w:rsidRPr="00EF374E">
        <w:rPr>
          <w:rFonts w:ascii="Amasis MT Pro" w:hAnsi="Amasis MT Pro" w:cstheme="majorBidi"/>
          <w:lang w:val="en-US"/>
        </w:rPr>
        <w:t>ng 9 years between 2015 and 2025</w:t>
      </w:r>
      <w:r w:rsidRPr="00EF374E">
        <w:rPr>
          <w:rFonts w:ascii="Amasis MT Pro" w:hAnsi="Amasis MT Pro" w:cstheme="majorBidi"/>
          <w:lang w:val="en-US"/>
        </w:rPr>
        <w:t>. It brings together all cases of uveitis requiring hospitalization</w:t>
      </w:r>
      <w:r w:rsidR="0075639F" w:rsidRPr="00EF374E">
        <w:rPr>
          <w:rFonts w:ascii="Amasis MT Pro" w:hAnsi="Amasis MT Pro" w:cstheme="majorBidi"/>
          <w:lang w:val="en-US"/>
        </w:rPr>
        <w:t xml:space="preserve"> received</w:t>
      </w:r>
      <w:r w:rsidR="006163FC" w:rsidRPr="00EF374E">
        <w:rPr>
          <w:rFonts w:ascii="Amasis MT Pro" w:hAnsi="Amasis MT Pro" w:cstheme="majorBidi"/>
          <w:color w:val="000000"/>
          <w:lang w:val="en-US"/>
        </w:rPr>
        <w:t xml:space="preserve">, </w:t>
      </w:r>
      <w:r w:rsidR="007B795A" w:rsidRPr="00EF374E">
        <w:rPr>
          <w:rFonts w:ascii="Amasis MT Pro" w:hAnsi="Amasis MT Pro" w:cstheme="majorBidi"/>
          <w:color w:val="000000"/>
          <w:lang w:val="en-US"/>
        </w:rPr>
        <w:t>including 132 cases of </w:t>
      </w:r>
      <w:r w:rsidR="007B795A" w:rsidRPr="00EF374E">
        <w:rPr>
          <w:rFonts w:ascii="Amasis MT Pro" w:hAnsi="Amasis MT Pro" w:cstheme="majorBidi"/>
          <w:lang w:val="en-US"/>
        </w:rPr>
        <w:t>uveitis.</w:t>
      </w:r>
      <w:r w:rsidRPr="00EF374E">
        <w:rPr>
          <w:rFonts w:ascii="Amasis MT Pro" w:hAnsi="Amasis MT Pro" w:cstheme="majorBidi"/>
          <w:lang w:val="en-US"/>
        </w:rPr>
        <w:t xml:space="preserve"> All children benefited from an ophthalmological assessment, an etiological assessment and regular follow-up.</w:t>
      </w:r>
    </w:p>
    <w:p w14:paraId="0F28CFCB" w14:textId="77777777" w:rsidR="00AD6BD3" w:rsidRPr="00EF374E" w:rsidRDefault="00AD6BD3" w:rsidP="007B795A">
      <w:pPr>
        <w:ind w:left="737"/>
        <w:jc w:val="both"/>
        <w:rPr>
          <w:rFonts w:ascii="Amasis MT Pro" w:hAnsi="Amasis MT Pro" w:cstheme="majorBidi"/>
          <w:b/>
          <w:bCs/>
          <w:lang w:val="en-US"/>
        </w:rPr>
      </w:pPr>
      <w:r w:rsidRPr="00EF374E">
        <w:rPr>
          <w:rFonts w:ascii="Amasis MT Pro" w:hAnsi="Amasis MT Pro" w:cstheme="majorBidi"/>
          <w:b/>
          <w:bCs/>
          <w:lang w:val="en-US"/>
        </w:rPr>
        <w:t>Result</w:t>
      </w:r>
      <w:r w:rsidR="002F1863" w:rsidRPr="00EF374E">
        <w:rPr>
          <w:rFonts w:ascii="Amasis MT Pro" w:hAnsi="Amasis MT Pro" w:cstheme="majorBidi"/>
          <w:b/>
          <w:bCs/>
          <w:lang w:val="en-US"/>
        </w:rPr>
        <w:t>s</w:t>
      </w:r>
      <w:r w:rsidR="00D00AE2" w:rsidRPr="00EF374E">
        <w:rPr>
          <w:rFonts w:ascii="Amasis MT Pro" w:hAnsi="Amasis MT Pro" w:cstheme="majorBidi"/>
          <w:b/>
          <w:bCs/>
          <w:lang w:val="en-US"/>
        </w:rPr>
        <w:t>:</w:t>
      </w:r>
    </w:p>
    <w:p w14:paraId="577F5A2A" w14:textId="3784F639" w:rsidR="00AD6BD3" w:rsidRPr="00EF374E" w:rsidRDefault="007B795A" w:rsidP="00EF374E">
      <w:pPr>
        <w:ind w:left="737"/>
        <w:jc w:val="both"/>
        <w:rPr>
          <w:rFonts w:ascii="Amasis MT Pro" w:hAnsi="Amasis MT Pro" w:cstheme="majorBidi"/>
          <w:lang w:val="en-US"/>
        </w:rPr>
      </w:pPr>
      <w:r w:rsidRPr="00EF374E">
        <w:rPr>
          <w:rFonts w:ascii="Amasis MT Pro" w:hAnsi="Amasis MT Pro" w:cstheme="majorBidi"/>
          <w:lang w:val="en-US"/>
        </w:rPr>
        <w:t>132</w:t>
      </w:r>
      <w:r w:rsidR="00AD6BD3" w:rsidRPr="00EF374E">
        <w:rPr>
          <w:rFonts w:ascii="Amasis MT Pro" w:hAnsi="Amasis MT Pro" w:cstheme="majorBidi"/>
          <w:lang w:val="en-US"/>
        </w:rPr>
        <w:t xml:space="preserve"> cases of uveitis were recorded</w:t>
      </w:r>
      <w:r w:rsidRPr="00EF374E">
        <w:rPr>
          <w:rFonts w:ascii="Amasis MT Pro" w:hAnsi="Amasis MT Pro" w:cstheme="majorBidi"/>
          <w:lang w:val="en-US"/>
        </w:rPr>
        <w:t>.</w:t>
      </w:r>
      <w:r w:rsidR="0075639F" w:rsidRPr="00EF374E">
        <w:rPr>
          <w:rFonts w:ascii="Amasis MT Pro" w:hAnsi="Amasis MT Pro" w:cstheme="majorBidi"/>
          <w:lang w:val="en-US"/>
        </w:rPr>
        <w:t xml:space="preserve"> </w:t>
      </w:r>
      <w:r w:rsidR="00AD6BD3" w:rsidRPr="00EF374E">
        <w:rPr>
          <w:rFonts w:ascii="Amasis MT Pro" w:hAnsi="Amasis MT Pro" w:cstheme="majorBidi"/>
          <w:lang w:val="en-US"/>
        </w:rPr>
        <w:t>The average a</w:t>
      </w:r>
      <w:r w:rsidRPr="00EF374E">
        <w:rPr>
          <w:rFonts w:ascii="Amasis MT Pro" w:hAnsi="Amasis MT Pro" w:cstheme="majorBidi"/>
          <w:lang w:val="en-US"/>
        </w:rPr>
        <w:t>ge of patients is 8 years and 4</w:t>
      </w:r>
      <w:r w:rsidR="00AD6BD3" w:rsidRPr="00EF374E">
        <w:rPr>
          <w:rFonts w:ascii="Amasis MT Pro" w:hAnsi="Amasis MT Pro" w:cstheme="majorBidi"/>
          <w:lang w:val="en-US"/>
        </w:rPr>
        <w:t xml:space="preserve"> months, the sex ratio is 0.</w:t>
      </w:r>
      <w:proofErr w:type="gramStart"/>
      <w:r w:rsidR="00AD6BD3" w:rsidRPr="00EF374E">
        <w:rPr>
          <w:rFonts w:ascii="Amasis MT Pro" w:hAnsi="Amasis MT Pro" w:cstheme="majorBidi"/>
          <w:lang w:val="en-US"/>
        </w:rPr>
        <w:t>8.The</w:t>
      </w:r>
      <w:proofErr w:type="gramEnd"/>
      <w:r w:rsidR="00AD6BD3" w:rsidRPr="00EF374E">
        <w:rPr>
          <w:rFonts w:ascii="Amasis MT Pro" w:hAnsi="Amasis MT Pro" w:cstheme="majorBidi"/>
          <w:lang w:val="en-US"/>
        </w:rPr>
        <w:t xml:space="preserve"> involvement was bilateral</w:t>
      </w:r>
      <w:r w:rsidRPr="00EF374E">
        <w:rPr>
          <w:rFonts w:ascii="Amasis MT Pro" w:hAnsi="Amasis MT Pro" w:cstheme="majorBidi"/>
          <w:lang w:val="en-US"/>
        </w:rPr>
        <w:t xml:space="preserve"> in 84</w:t>
      </w:r>
      <w:r w:rsidR="00AD6BD3" w:rsidRPr="00EF374E">
        <w:rPr>
          <w:rFonts w:ascii="Amasis MT Pro" w:hAnsi="Amasis MT Pro" w:cstheme="majorBidi"/>
          <w:lang w:val="en-US"/>
        </w:rPr>
        <w:t xml:space="preserve">% of cases, with a </w:t>
      </w:r>
      <w:r w:rsidRPr="00EF374E">
        <w:rPr>
          <w:rFonts w:ascii="Amasis MT Pro" w:hAnsi="Amasis MT Pro" w:cstheme="majorBidi"/>
          <w:lang w:val="en-US"/>
        </w:rPr>
        <w:t xml:space="preserve">predominance of </w:t>
      </w:r>
      <w:proofErr w:type="spellStart"/>
      <w:r w:rsidRPr="00EF374E">
        <w:rPr>
          <w:rFonts w:ascii="Amasis MT Pro" w:hAnsi="Amasis MT Pro" w:cstheme="majorBidi"/>
          <w:lang w:val="en-US"/>
        </w:rPr>
        <w:t>panuveitis</w:t>
      </w:r>
      <w:proofErr w:type="spellEnd"/>
      <w:r w:rsidRPr="00EF374E">
        <w:rPr>
          <w:rFonts w:ascii="Amasis MT Pro" w:hAnsi="Amasis MT Pro" w:cstheme="majorBidi"/>
          <w:lang w:val="en-US"/>
        </w:rPr>
        <w:t xml:space="preserve"> (42</w:t>
      </w:r>
      <w:r w:rsidR="00AD6BD3" w:rsidRPr="00EF374E">
        <w:rPr>
          <w:rFonts w:ascii="Amasis MT Pro" w:hAnsi="Amasis MT Pro" w:cstheme="majorBidi"/>
          <w:lang w:val="en-US"/>
        </w:rPr>
        <w:t>%) followed by anterio</w:t>
      </w:r>
      <w:r w:rsidRPr="00EF374E">
        <w:rPr>
          <w:rFonts w:ascii="Amasis MT Pro" w:hAnsi="Amasis MT Pro" w:cstheme="majorBidi"/>
          <w:lang w:val="en-US"/>
        </w:rPr>
        <w:t>r and intermediate locations (26</w:t>
      </w:r>
      <w:r w:rsidR="00AD6BD3" w:rsidRPr="00EF374E">
        <w:rPr>
          <w:rFonts w:ascii="Amasis MT Pro" w:hAnsi="Amasis MT Pro" w:cstheme="majorBidi"/>
          <w:lang w:val="en-US"/>
        </w:rPr>
        <w:t>%</w:t>
      </w:r>
      <w:r w:rsidRPr="00EF374E">
        <w:rPr>
          <w:rFonts w:ascii="Amasis MT Pro" w:hAnsi="Amasis MT Pro" w:cstheme="majorBidi"/>
          <w:lang w:val="en-US"/>
        </w:rPr>
        <w:t>, 24%</w:t>
      </w:r>
      <w:r w:rsidR="00B87CDD" w:rsidRPr="00EF374E">
        <w:rPr>
          <w:rFonts w:ascii="Amasis MT Pro" w:hAnsi="Amasis MT Pro"/>
        </w:rPr>
        <w:t xml:space="preserve"> </w:t>
      </w:r>
      <w:r w:rsidR="00B87CDD" w:rsidRPr="00EF374E">
        <w:rPr>
          <w:rFonts w:ascii="Amasis MT Pro" w:hAnsi="Amasis MT Pro" w:cstheme="majorBidi"/>
          <w:lang w:val="en-US"/>
        </w:rPr>
        <w:t>respectively</w:t>
      </w:r>
      <w:r w:rsidR="00AD6BD3" w:rsidRPr="00EF374E">
        <w:rPr>
          <w:rFonts w:ascii="Amasis MT Pro" w:hAnsi="Amasis MT Pro" w:cstheme="majorBidi"/>
          <w:lang w:val="en-US"/>
        </w:rPr>
        <w:t>).</w:t>
      </w:r>
      <w:r w:rsidRPr="00EF374E">
        <w:rPr>
          <w:rFonts w:ascii="Amasis MT Pro" w:hAnsi="Amasis MT Pro" w:cstheme="majorBidi"/>
          <w:lang w:val="en-US"/>
        </w:rPr>
        <w:t>53</w:t>
      </w:r>
      <w:r w:rsidR="00AD6BD3" w:rsidRPr="00EF374E">
        <w:rPr>
          <w:rFonts w:ascii="Amasis MT Pro" w:hAnsi="Amasis MT Pro" w:cstheme="majorBidi"/>
          <w:lang w:val="en-US"/>
        </w:rPr>
        <w:t>% of cases in our series were idiopathic, inflammatory cause found in 21% (juvenile idiopathic arthritis and Behcet), while the infectious e</w:t>
      </w:r>
      <w:r w:rsidRPr="00EF374E">
        <w:rPr>
          <w:rFonts w:ascii="Amasis MT Pro" w:hAnsi="Amasis MT Pro" w:cstheme="majorBidi"/>
          <w:lang w:val="en-US"/>
        </w:rPr>
        <w:t>tiology was only present in 22</w:t>
      </w:r>
      <w:r w:rsidR="00AD6BD3" w:rsidRPr="00EF374E">
        <w:rPr>
          <w:rFonts w:ascii="Amasis MT Pro" w:hAnsi="Amasis MT Pro" w:cstheme="majorBidi"/>
          <w:lang w:val="en-US"/>
        </w:rPr>
        <w:t>% cases.</w:t>
      </w:r>
      <w:r w:rsidR="005E2430" w:rsidRPr="00EF374E">
        <w:rPr>
          <w:rFonts w:ascii="Amasis MT Pro" w:hAnsi="Amasis MT Pro" w:cstheme="majorBidi"/>
          <w:lang w:val="en-US"/>
        </w:rPr>
        <w:t xml:space="preserve"> </w:t>
      </w:r>
      <w:r w:rsidR="00AD6BD3" w:rsidRPr="00EF374E">
        <w:rPr>
          <w:rFonts w:ascii="Amasis MT Pro" w:hAnsi="Amasis MT Pro" w:cstheme="majorBidi"/>
          <w:lang w:val="en-US"/>
        </w:rPr>
        <w:t>Systemic cortico</w:t>
      </w:r>
      <w:r w:rsidRPr="00EF374E">
        <w:rPr>
          <w:rFonts w:ascii="Amasis MT Pro" w:hAnsi="Amasis MT Pro" w:cstheme="majorBidi"/>
          <w:lang w:val="en-US"/>
        </w:rPr>
        <w:t>steroid therapy was used in 94</w:t>
      </w:r>
      <w:r w:rsidR="00AD6BD3" w:rsidRPr="00EF374E">
        <w:rPr>
          <w:rFonts w:ascii="Amasis MT Pro" w:hAnsi="Amasis MT Pro" w:cstheme="majorBidi"/>
          <w:lang w:val="en-US"/>
        </w:rPr>
        <w:t>% of c</w:t>
      </w:r>
      <w:r w:rsidRPr="00EF374E">
        <w:rPr>
          <w:rFonts w:ascii="Amasis MT Pro" w:hAnsi="Amasis MT Pro" w:cstheme="majorBidi"/>
          <w:lang w:val="en-US"/>
        </w:rPr>
        <w:t>ases, immunosuppressants in 70</w:t>
      </w:r>
      <w:r w:rsidR="00AD6BD3" w:rsidRPr="00EF374E">
        <w:rPr>
          <w:rFonts w:ascii="Amasis MT Pro" w:hAnsi="Amasis MT Pro" w:cstheme="majorBidi"/>
          <w:lang w:val="en-US"/>
        </w:rPr>
        <w:t>% of case</w:t>
      </w:r>
      <w:r w:rsidRPr="00EF374E">
        <w:rPr>
          <w:rFonts w:ascii="Amasis MT Pro" w:hAnsi="Amasis MT Pro" w:cstheme="majorBidi"/>
          <w:lang w:val="en-US"/>
        </w:rPr>
        <w:t>s, and biotherapy was used in 10</w:t>
      </w:r>
      <w:r w:rsidR="00AD6BD3" w:rsidRPr="00EF374E">
        <w:rPr>
          <w:rFonts w:ascii="Amasis MT Pro" w:hAnsi="Amasis MT Pro" w:cstheme="majorBidi"/>
          <w:lang w:val="en-US"/>
        </w:rPr>
        <w:t xml:space="preserve">% of cases, in addition to specific antibiotic, antiviral and antiparasitic treatment in cases. infectious forms. Ocular </w:t>
      </w:r>
      <w:r w:rsidR="002A1F95" w:rsidRPr="00EF374E">
        <w:rPr>
          <w:rFonts w:ascii="Amasis MT Pro" w:hAnsi="Amasis MT Pro" w:cstheme="majorBidi"/>
          <w:lang w:val="en-US"/>
        </w:rPr>
        <w:t>complications were found in 36.7</w:t>
      </w:r>
      <w:r w:rsidR="00AD6BD3" w:rsidRPr="00EF374E">
        <w:rPr>
          <w:rFonts w:ascii="Amasis MT Pro" w:hAnsi="Amasis MT Pro" w:cstheme="majorBidi"/>
          <w:lang w:val="en-US"/>
        </w:rPr>
        <w:t>% of case</w:t>
      </w:r>
      <w:r w:rsidR="002A1F95" w:rsidRPr="00EF374E">
        <w:rPr>
          <w:rFonts w:ascii="Amasis MT Pro" w:hAnsi="Amasis MT Pro" w:cstheme="majorBidi"/>
          <w:lang w:val="en-US"/>
        </w:rPr>
        <w:t>s, dominated by cataract in 20%, synechiae in 15</w:t>
      </w:r>
      <w:r w:rsidR="00AD6BD3" w:rsidRPr="00EF374E">
        <w:rPr>
          <w:rFonts w:ascii="Amasis MT Pro" w:hAnsi="Amasis MT Pro" w:cstheme="majorBidi"/>
          <w:lang w:val="en-US"/>
        </w:rPr>
        <w:t>%, and hypertonia in 4%.</w:t>
      </w:r>
    </w:p>
    <w:p w14:paraId="4BB2E75B" w14:textId="77777777" w:rsidR="00AD6BD3" w:rsidRPr="00EF374E" w:rsidRDefault="00AD6BD3" w:rsidP="007B795A">
      <w:pPr>
        <w:ind w:left="737"/>
        <w:jc w:val="both"/>
        <w:rPr>
          <w:rFonts w:ascii="Amasis MT Pro" w:hAnsi="Amasis MT Pro" w:cstheme="majorBidi"/>
          <w:b/>
          <w:bCs/>
          <w:lang w:val="en-US"/>
        </w:rPr>
      </w:pPr>
      <w:r w:rsidRPr="00EF374E">
        <w:rPr>
          <w:rFonts w:ascii="Amasis MT Pro" w:hAnsi="Amasis MT Pro" w:cstheme="majorBidi"/>
          <w:b/>
          <w:bCs/>
          <w:lang w:val="en-US"/>
        </w:rPr>
        <w:t>Conclusion</w:t>
      </w:r>
      <w:r w:rsidR="00D00AE2" w:rsidRPr="00EF374E">
        <w:rPr>
          <w:rFonts w:ascii="Amasis MT Pro" w:hAnsi="Amasis MT Pro" w:cstheme="majorBidi"/>
          <w:b/>
          <w:bCs/>
          <w:lang w:val="en-US"/>
        </w:rPr>
        <w:t>:</w:t>
      </w:r>
    </w:p>
    <w:p w14:paraId="18EABD45" w14:textId="35988722" w:rsidR="00AD6BD3" w:rsidRPr="00EF374E" w:rsidRDefault="00AD6BD3" w:rsidP="00EF374E">
      <w:pPr>
        <w:ind w:left="737"/>
        <w:jc w:val="both"/>
        <w:rPr>
          <w:rFonts w:ascii="Amasis MT Pro" w:hAnsi="Amasis MT Pro" w:cstheme="majorBidi"/>
          <w:b/>
          <w:bCs/>
          <w:lang w:val="en-US"/>
        </w:rPr>
      </w:pPr>
      <w:r w:rsidRPr="00EF374E">
        <w:rPr>
          <w:rFonts w:ascii="Amasis MT Pro" w:hAnsi="Amasis MT Pro" w:cstheme="majorBidi"/>
          <w:lang w:val="en-US"/>
        </w:rPr>
        <w:t>The particularities found in our studies are usually described in most series, namely the frequency of idiopathic forms and that linked to juvenile idiopathic arthritis and the potentially blinding complications which are secondary to inflammation and treatment</w:t>
      </w:r>
      <w:r w:rsidRPr="00EF374E">
        <w:rPr>
          <w:rFonts w:ascii="Amasis MT Pro" w:hAnsi="Amasis MT Pro" w:cstheme="majorBidi"/>
          <w:b/>
          <w:bCs/>
          <w:lang w:val="en-US"/>
        </w:rPr>
        <w:t>.</w:t>
      </w:r>
    </w:p>
    <w:p w14:paraId="006BAF0D" w14:textId="2C04815E" w:rsidR="00AD6BD3" w:rsidRPr="00AD6BD3" w:rsidRDefault="00EF374E" w:rsidP="000B157C">
      <w:pPr>
        <w:ind w:left="737"/>
        <w:jc w:val="center"/>
        <w:rPr>
          <w:rFonts w:asciiTheme="majorBidi" w:hAnsiTheme="majorBidi" w:cstheme="majorBidi"/>
          <w:b/>
          <w:bCs/>
          <w:sz w:val="28"/>
          <w:szCs w:val="28"/>
          <w:lang w:val="en-US"/>
        </w:rPr>
      </w:pPr>
      <w:r w:rsidRPr="003D2A3B">
        <w:rPr>
          <w:rFonts w:ascii="Amasis MT Pro" w:eastAsia="Calibri" w:hAnsi="Amasis MT Pro" w:cs="Times New Roman"/>
          <w:lang w:val="en-GB"/>
        </w:rPr>
        <w:drawing>
          <wp:anchor distT="0" distB="0" distL="114300" distR="114300" simplePos="0" relativeHeight="251661312" behindDoc="0" locked="0" layoutInCell="1" allowOverlap="1" wp14:anchorId="43E3C01A" wp14:editId="2D9F2301">
            <wp:simplePos x="0" y="0"/>
            <wp:positionH relativeFrom="margin">
              <wp:posOffset>0</wp:posOffset>
            </wp:positionH>
            <wp:positionV relativeFrom="margin">
              <wp:posOffset>8404860</wp:posOffset>
            </wp:positionV>
            <wp:extent cx="5758180" cy="1073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1563" t="3454" r="1491" b="7316"/>
                    <a:stretch/>
                  </pic:blipFill>
                  <pic:spPr bwMode="auto">
                    <a:xfrm>
                      <a:off x="0" y="0"/>
                      <a:ext cx="5758180" cy="1073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AD6BD3" w:rsidRPr="00AD6BD3" w:rsidSect="00F415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Bold">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masis MT Pro">
    <w:charset w:val="00"/>
    <w:family w:val="roman"/>
    <w:pitch w:val="variable"/>
    <w:sig w:usb0="A00000AF" w:usb1="4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57C"/>
    <w:rsid w:val="000B157C"/>
    <w:rsid w:val="0017363B"/>
    <w:rsid w:val="001755E6"/>
    <w:rsid w:val="0018536A"/>
    <w:rsid w:val="00232B9E"/>
    <w:rsid w:val="002A1F95"/>
    <w:rsid w:val="002F1863"/>
    <w:rsid w:val="00334D90"/>
    <w:rsid w:val="00352941"/>
    <w:rsid w:val="003F445B"/>
    <w:rsid w:val="0043491F"/>
    <w:rsid w:val="00442B4E"/>
    <w:rsid w:val="004E4F71"/>
    <w:rsid w:val="005D0F0D"/>
    <w:rsid w:val="005E2430"/>
    <w:rsid w:val="005E43A2"/>
    <w:rsid w:val="006163FC"/>
    <w:rsid w:val="0075639F"/>
    <w:rsid w:val="007B795A"/>
    <w:rsid w:val="00824EB9"/>
    <w:rsid w:val="00833367"/>
    <w:rsid w:val="00910A14"/>
    <w:rsid w:val="009162D1"/>
    <w:rsid w:val="00AD6BD3"/>
    <w:rsid w:val="00AE1BC7"/>
    <w:rsid w:val="00B01B78"/>
    <w:rsid w:val="00B606C9"/>
    <w:rsid w:val="00B87CDD"/>
    <w:rsid w:val="00B92569"/>
    <w:rsid w:val="00BD7EC3"/>
    <w:rsid w:val="00CB435A"/>
    <w:rsid w:val="00CC091B"/>
    <w:rsid w:val="00D00AE2"/>
    <w:rsid w:val="00D319E7"/>
    <w:rsid w:val="00D67A78"/>
    <w:rsid w:val="00DA400A"/>
    <w:rsid w:val="00E14D09"/>
    <w:rsid w:val="00EC1107"/>
    <w:rsid w:val="00EE381B"/>
    <w:rsid w:val="00EF374E"/>
    <w:rsid w:val="00F4152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2EDD9"/>
  <w15:docId w15:val="{C5954559-92A8-415C-B20B-4B4D1F32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5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B157C"/>
    <w:rPr>
      <w:rFonts w:ascii="Times New Roman" w:hAnsi="Times New Roman" w:cs="Times New Roman" w:hint="default"/>
      <w:b w:val="0"/>
      <w:bCs w:val="0"/>
      <w:i w:val="0"/>
      <w:iCs w:val="0"/>
      <w:color w:val="222222"/>
      <w:sz w:val="24"/>
      <w:szCs w:val="24"/>
    </w:rPr>
  </w:style>
  <w:style w:type="character" w:customStyle="1" w:styleId="fontstyle21">
    <w:name w:val="fontstyle21"/>
    <w:basedOn w:val="DefaultParagraphFont"/>
    <w:rsid w:val="00352941"/>
    <w:rPr>
      <w:rFonts w:ascii="Cambria-Bold" w:hAnsi="Cambria-Bold" w:hint="default"/>
      <w:b/>
      <w:bCs/>
      <w:i w:val="0"/>
      <w:iCs w:val="0"/>
      <w:color w:val="403152"/>
      <w:sz w:val="16"/>
      <w:szCs w:val="16"/>
    </w:rPr>
  </w:style>
  <w:style w:type="paragraph" w:styleId="BodyText">
    <w:name w:val="Body Text"/>
    <w:basedOn w:val="Normal"/>
    <w:link w:val="BodyTextChar"/>
    <w:uiPriority w:val="1"/>
    <w:qFormat/>
    <w:rsid w:val="00D319E7"/>
    <w:pPr>
      <w:widowControl w:val="0"/>
      <w:autoSpaceDE w:val="0"/>
      <w:autoSpaceDN w:val="0"/>
      <w:spacing w:after="0" w:line="240" w:lineRule="auto"/>
    </w:pPr>
    <w:rPr>
      <w:rFonts w:ascii="Georgia" w:eastAsia="Georgia" w:hAnsi="Georgia" w:cs="Times New Roman"/>
      <w:sz w:val="17"/>
      <w:szCs w:val="17"/>
    </w:rPr>
  </w:style>
  <w:style w:type="character" w:customStyle="1" w:styleId="BodyTextChar">
    <w:name w:val="Body Text Char"/>
    <w:basedOn w:val="DefaultParagraphFont"/>
    <w:link w:val="BodyText"/>
    <w:uiPriority w:val="1"/>
    <w:rsid w:val="00D319E7"/>
    <w:rPr>
      <w:rFonts w:ascii="Georgia" w:eastAsia="Georgia" w:hAnsi="Georgia"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Yara Abi Ghanem</cp:lastModifiedBy>
  <cp:revision>2</cp:revision>
  <dcterms:created xsi:type="dcterms:W3CDTF">2025-04-17T17:15:00Z</dcterms:created>
  <dcterms:modified xsi:type="dcterms:W3CDTF">2025-04-17T17:15:00Z</dcterms:modified>
</cp:coreProperties>
</file>