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827C" w14:textId="541DD078" w:rsidR="001B3DED" w:rsidRDefault="001B3DED" w:rsidP="001B3DED">
      <w:pPr>
        <w:pStyle w:val="NormalWeb"/>
        <w:spacing w:before="0" w:beforeAutospacing="0" w:after="200" w:afterAutospacing="0" w:line="212" w:lineRule="atLeast"/>
        <w:rPr>
          <w:rFonts w:asciiTheme="majorBidi" w:hAnsiTheme="majorBidi" w:cstheme="majorBidi"/>
          <w:b/>
          <w:bCs/>
          <w:color w:val="000000"/>
          <w:lang w:val="en-US"/>
        </w:rPr>
      </w:pPr>
      <w:r>
        <w:rPr>
          <w:rFonts w:ascii="Amasis MT Pro" w:eastAsia="Calibri" w:hAnsi="Amasis MT Pro"/>
          <w:b/>
          <w:bCs/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16D370E6" wp14:editId="4D7483AB">
            <wp:simplePos x="0" y="0"/>
            <wp:positionH relativeFrom="margin">
              <wp:posOffset>-68580</wp:posOffset>
            </wp:positionH>
            <wp:positionV relativeFrom="margin">
              <wp:posOffset>-266700</wp:posOffset>
            </wp:positionV>
            <wp:extent cx="5894705" cy="7524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70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9AD3B6C" w14:textId="77777777" w:rsidR="001B3DED" w:rsidRDefault="001B3DED" w:rsidP="001B3DED">
      <w:pPr>
        <w:pStyle w:val="NormalWeb"/>
        <w:spacing w:before="0" w:beforeAutospacing="0" w:after="200" w:afterAutospacing="0" w:line="212" w:lineRule="atLeast"/>
        <w:rPr>
          <w:rFonts w:asciiTheme="majorBidi" w:hAnsiTheme="majorBidi" w:cstheme="majorBidi"/>
          <w:b/>
          <w:bCs/>
          <w:color w:val="000000"/>
          <w:lang w:val="en-US"/>
        </w:rPr>
      </w:pPr>
    </w:p>
    <w:p w14:paraId="609A7AA4" w14:textId="7E19AA75" w:rsidR="001B3DED" w:rsidRPr="001B3DED" w:rsidRDefault="001B3DED" w:rsidP="001B3DED">
      <w:pPr>
        <w:pStyle w:val="NormalWeb"/>
        <w:spacing w:before="0" w:beforeAutospacing="0" w:after="200" w:afterAutospacing="0" w:line="212" w:lineRule="atLeast"/>
        <w:rPr>
          <w:rFonts w:ascii="Amasis MT Pro" w:hAnsi="Amasis MT Pro" w:cstheme="majorBidi"/>
          <w:b/>
          <w:bCs/>
          <w:color w:val="000000"/>
          <w:sz w:val="22"/>
          <w:szCs w:val="22"/>
          <w:lang w:val="en-US"/>
        </w:rPr>
      </w:pPr>
      <w:r w:rsidRPr="001B3DED">
        <w:rPr>
          <w:rFonts w:ascii="Amasis MT Pro" w:hAnsi="Amasis MT Pro" w:cstheme="majorBidi"/>
          <w:b/>
          <w:bCs/>
          <w:color w:val="000000"/>
          <w:sz w:val="22"/>
          <w:szCs w:val="22"/>
          <w:lang w:val="en-US"/>
        </w:rPr>
        <w:t>6423</w:t>
      </w:r>
    </w:p>
    <w:p w14:paraId="75331004" w14:textId="77777777" w:rsidR="001B3DED" w:rsidRPr="001B3DED" w:rsidRDefault="001B3DED" w:rsidP="0017049F">
      <w:pPr>
        <w:pStyle w:val="NormalWeb"/>
        <w:spacing w:before="0" w:beforeAutospacing="0" w:after="200" w:afterAutospacing="0" w:line="212" w:lineRule="atLeast"/>
        <w:jc w:val="center"/>
        <w:rPr>
          <w:rFonts w:ascii="Amasis MT Pro" w:hAnsi="Amasis MT Pro" w:cstheme="majorBidi"/>
          <w:b/>
          <w:bCs/>
          <w:color w:val="000000"/>
          <w:sz w:val="22"/>
          <w:szCs w:val="22"/>
          <w:lang w:val="en-US"/>
        </w:rPr>
      </w:pPr>
    </w:p>
    <w:p w14:paraId="2A2A908B" w14:textId="0F87D483" w:rsidR="0017049F" w:rsidRPr="001B3DED" w:rsidRDefault="00583099" w:rsidP="001B3DED">
      <w:pPr>
        <w:pStyle w:val="NormalWeb"/>
        <w:spacing w:before="0" w:beforeAutospacing="0" w:after="200" w:afterAutospacing="0" w:line="212" w:lineRule="atLeast"/>
        <w:jc w:val="center"/>
        <w:rPr>
          <w:rFonts w:ascii="Amasis MT Pro" w:hAnsi="Amasis MT Pro" w:cstheme="majorBidi"/>
          <w:b/>
          <w:bCs/>
          <w:color w:val="000000"/>
          <w:sz w:val="22"/>
          <w:szCs w:val="22"/>
          <w:lang w:val="en-US"/>
        </w:rPr>
      </w:pPr>
      <w:r w:rsidRPr="001B3DED">
        <w:rPr>
          <w:rFonts w:ascii="Amasis MT Pro" w:hAnsi="Amasis MT Pro" w:cstheme="majorBidi"/>
          <w:b/>
          <w:bCs/>
          <w:color w:val="000000"/>
          <w:sz w:val="22"/>
          <w:szCs w:val="22"/>
          <w:lang w:val="en-US"/>
        </w:rPr>
        <w:t>Juvenile dermatomyositis: clinical, immunological and evolutionary aspects</w:t>
      </w:r>
    </w:p>
    <w:p w14:paraId="3DF7E516" w14:textId="77777777" w:rsidR="0017049F" w:rsidRPr="001B3DED" w:rsidRDefault="0017049F" w:rsidP="0017049F">
      <w:pPr>
        <w:pStyle w:val="NormalWeb"/>
        <w:spacing w:before="0" w:beforeAutospacing="0" w:after="200" w:afterAutospacing="0" w:line="194" w:lineRule="atLeast"/>
        <w:jc w:val="both"/>
        <w:rPr>
          <w:rFonts w:ascii="Amasis MT Pro" w:hAnsi="Amasis MT Pro" w:cstheme="majorBidi"/>
          <w:color w:val="000000"/>
          <w:sz w:val="22"/>
          <w:szCs w:val="22"/>
          <w:lang w:val="en-US"/>
        </w:rPr>
      </w:pPr>
    </w:p>
    <w:p w14:paraId="3BA40979" w14:textId="77777777" w:rsidR="001B3DED" w:rsidRDefault="001B3DED" w:rsidP="00562075">
      <w:pPr>
        <w:pStyle w:val="NormalWeb"/>
        <w:spacing w:before="0" w:beforeAutospacing="0" w:after="200" w:afterAutospacing="0" w:line="212" w:lineRule="atLeast"/>
        <w:jc w:val="both"/>
        <w:rPr>
          <w:rFonts w:ascii="Amasis MT Pro" w:hAnsi="Amasis MT Pro" w:cstheme="majorBidi"/>
          <w:b/>
          <w:bCs/>
          <w:color w:val="000000"/>
          <w:sz w:val="22"/>
          <w:szCs w:val="22"/>
          <w:lang w:val="en-US"/>
        </w:rPr>
      </w:pPr>
    </w:p>
    <w:p w14:paraId="6A1C467F" w14:textId="427FCB38" w:rsidR="0017049F" w:rsidRPr="001B3DED" w:rsidRDefault="0017049F" w:rsidP="00562075">
      <w:pPr>
        <w:pStyle w:val="NormalWeb"/>
        <w:spacing w:before="0" w:beforeAutospacing="0" w:after="200" w:afterAutospacing="0" w:line="212" w:lineRule="atLeast"/>
        <w:jc w:val="both"/>
        <w:rPr>
          <w:rFonts w:ascii="Amasis MT Pro" w:hAnsi="Amasis MT Pro" w:cstheme="majorBidi"/>
          <w:b/>
          <w:bCs/>
          <w:color w:val="000000"/>
          <w:sz w:val="22"/>
          <w:szCs w:val="22"/>
          <w:lang w:val="en-US"/>
        </w:rPr>
      </w:pPr>
      <w:r w:rsidRPr="001B3DED">
        <w:rPr>
          <w:rFonts w:ascii="Amasis MT Pro" w:hAnsi="Amasis MT Pro" w:cstheme="majorBidi"/>
          <w:b/>
          <w:bCs/>
          <w:color w:val="000000"/>
          <w:sz w:val="22"/>
          <w:szCs w:val="22"/>
          <w:lang w:val="en-US"/>
        </w:rPr>
        <w:t>Introduction: </w:t>
      </w:r>
      <w:r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Dermatomyositis is a rare disease. In children the incidence is 2 to 3 per million inhabitants. It is a potentially serious disease whose mortality is less than 5%, but whose complications and long-term prognosis remain pejorative for some children.</w:t>
      </w:r>
    </w:p>
    <w:p w14:paraId="59C9573E" w14:textId="77777777" w:rsidR="0017049F" w:rsidRPr="001B3DED" w:rsidRDefault="0017049F" w:rsidP="0017049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masis MT Pro" w:hAnsi="Amasis MT Pro" w:cstheme="majorBidi"/>
          <w:color w:val="000000"/>
          <w:sz w:val="22"/>
          <w:szCs w:val="22"/>
          <w:lang w:val="en-US"/>
        </w:rPr>
      </w:pPr>
      <w:r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 </w:t>
      </w:r>
    </w:p>
    <w:p w14:paraId="1C24CEF3" w14:textId="77777777" w:rsidR="0017049F" w:rsidRPr="001B3DED" w:rsidRDefault="00967204" w:rsidP="00562075">
      <w:pPr>
        <w:pStyle w:val="NormalWeb"/>
        <w:spacing w:before="0" w:beforeAutospacing="0" w:after="0" w:afterAutospacing="0" w:line="212" w:lineRule="atLeast"/>
        <w:jc w:val="both"/>
        <w:rPr>
          <w:rFonts w:ascii="Amasis MT Pro" w:hAnsi="Amasis MT Pro" w:cstheme="majorBidi"/>
          <w:color w:val="000000"/>
          <w:sz w:val="22"/>
          <w:szCs w:val="22"/>
          <w:lang w:val="en-US"/>
        </w:rPr>
      </w:pPr>
      <w:r w:rsidRPr="001B3DED">
        <w:rPr>
          <w:rFonts w:ascii="Amasis MT Pro" w:hAnsi="Amasis MT Pro" w:cstheme="majorBidi"/>
          <w:b/>
          <w:bCs/>
          <w:color w:val="000000"/>
          <w:sz w:val="22"/>
          <w:szCs w:val="22"/>
          <w:lang w:val="en-US"/>
        </w:rPr>
        <w:t>Object</w:t>
      </w:r>
      <w:r w:rsidR="005D740A" w:rsidRPr="001B3DED">
        <w:rPr>
          <w:rFonts w:ascii="Amasis MT Pro" w:hAnsi="Amasis MT Pro" w:cstheme="majorBidi"/>
          <w:b/>
          <w:bCs/>
          <w:color w:val="000000"/>
          <w:sz w:val="22"/>
          <w:szCs w:val="22"/>
          <w:lang w:val="en-US"/>
        </w:rPr>
        <w:t>ives</w:t>
      </w:r>
      <w:r w:rsidRPr="001B3DED">
        <w:rPr>
          <w:rFonts w:ascii="Amasis MT Pro" w:hAnsi="Amasis MT Pro" w:cstheme="majorBidi"/>
          <w:b/>
          <w:bCs/>
          <w:color w:val="000000"/>
          <w:sz w:val="22"/>
          <w:szCs w:val="22"/>
          <w:lang w:val="en-US"/>
        </w:rPr>
        <w:t>:</w:t>
      </w:r>
      <w:r w:rsidR="0017049F" w:rsidRPr="001B3DED">
        <w:rPr>
          <w:rFonts w:ascii="Amasis MT Pro" w:hAnsi="Amasis MT Pro" w:cstheme="majorBidi"/>
          <w:b/>
          <w:bCs/>
          <w:color w:val="000000"/>
          <w:sz w:val="22"/>
          <w:szCs w:val="22"/>
          <w:lang w:val="en-US"/>
        </w:rPr>
        <w:t> </w:t>
      </w:r>
      <w:r w:rsidR="00FA6BC1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To study the characteristics and particularities of a retrospective series of juvenile dermatomyositis</w:t>
      </w:r>
      <w:r w:rsidR="00FA6BC1" w:rsidRPr="001B3DED">
        <w:rPr>
          <w:rFonts w:ascii="Amasis MT Pro" w:hAnsi="Amasis MT Pro" w:cstheme="majorBidi"/>
          <w:b/>
          <w:bCs/>
          <w:color w:val="000000"/>
          <w:sz w:val="22"/>
          <w:szCs w:val="22"/>
          <w:lang w:val="en-US"/>
        </w:rPr>
        <w:t>.</w:t>
      </w:r>
    </w:p>
    <w:p w14:paraId="4B24098F" w14:textId="77777777" w:rsidR="00FA6BC1" w:rsidRPr="001B3DED" w:rsidRDefault="00FA6BC1" w:rsidP="0017049F">
      <w:pPr>
        <w:pStyle w:val="NormalWeb"/>
        <w:spacing w:before="0" w:beforeAutospacing="0" w:after="0" w:afterAutospacing="0" w:line="212" w:lineRule="atLeast"/>
        <w:jc w:val="both"/>
        <w:rPr>
          <w:rFonts w:ascii="Amasis MT Pro" w:hAnsi="Amasis MT Pro" w:cstheme="majorBidi"/>
          <w:b/>
          <w:bCs/>
          <w:color w:val="000000"/>
          <w:sz w:val="22"/>
          <w:szCs w:val="22"/>
          <w:lang w:val="en-US"/>
        </w:rPr>
      </w:pPr>
    </w:p>
    <w:p w14:paraId="408F7F27" w14:textId="77777777" w:rsidR="003627A2" w:rsidRPr="001B3DED" w:rsidRDefault="0017049F" w:rsidP="000B3F74">
      <w:pPr>
        <w:pStyle w:val="NormalWeb"/>
        <w:spacing w:before="0" w:beforeAutospacing="0" w:after="0" w:afterAutospacing="0" w:line="212" w:lineRule="atLeast"/>
        <w:jc w:val="both"/>
        <w:rPr>
          <w:rFonts w:ascii="Amasis MT Pro" w:hAnsi="Amasis MT Pro" w:cstheme="majorBidi"/>
          <w:color w:val="000000"/>
          <w:sz w:val="22"/>
          <w:szCs w:val="22"/>
          <w:lang w:val="en-US"/>
        </w:rPr>
      </w:pPr>
      <w:r w:rsidRPr="001B3DED">
        <w:rPr>
          <w:rFonts w:ascii="Amasis MT Pro" w:hAnsi="Amasis MT Pro" w:cstheme="majorBidi"/>
          <w:b/>
          <w:bCs/>
          <w:color w:val="000000"/>
          <w:sz w:val="22"/>
          <w:szCs w:val="22"/>
          <w:lang w:val="en-US"/>
        </w:rPr>
        <w:t xml:space="preserve">Materials and </w:t>
      </w:r>
      <w:r w:rsidR="00967204" w:rsidRPr="001B3DED">
        <w:rPr>
          <w:rFonts w:ascii="Amasis MT Pro" w:hAnsi="Amasis MT Pro" w:cstheme="majorBidi"/>
          <w:b/>
          <w:bCs/>
          <w:color w:val="000000"/>
          <w:sz w:val="22"/>
          <w:szCs w:val="22"/>
          <w:lang w:val="en-US"/>
        </w:rPr>
        <w:t>methods:</w:t>
      </w:r>
      <w:r w:rsidRPr="001B3DED">
        <w:rPr>
          <w:rFonts w:ascii="Amasis MT Pro" w:hAnsi="Amasis MT Pro" w:cstheme="majorBidi"/>
          <w:b/>
          <w:bCs/>
          <w:color w:val="000000"/>
          <w:sz w:val="22"/>
          <w:szCs w:val="22"/>
          <w:lang w:val="en-US"/>
        </w:rPr>
        <w:t> </w:t>
      </w:r>
      <w:r w:rsidR="00562075" w:rsidRPr="001B3DED">
        <w:rPr>
          <w:rFonts w:ascii="Amasis MT Pro" w:hAnsi="Amasis MT Pro" w:cstheme="majorBidi"/>
          <w:b/>
          <w:bCs/>
          <w:color w:val="000000"/>
          <w:sz w:val="22"/>
          <w:szCs w:val="22"/>
          <w:lang w:val="en-US"/>
        </w:rPr>
        <w:t xml:space="preserve"> </w:t>
      </w:r>
      <w:r w:rsidR="003627A2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 xml:space="preserve">We report the epidemiological, clinical, therapeutic and evolutionary characteristics of a retrospective </w:t>
      </w:r>
      <w:proofErr w:type="gramStart"/>
      <w:r w:rsidR="003627A2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series </w:t>
      </w:r>
      <w:r w:rsidR="00E3620E" w:rsidRPr="001B3DED">
        <w:rPr>
          <w:rFonts w:ascii="Amasis MT Pro" w:eastAsia="Calibri" w:hAnsi="Amasis MT Pro" w:cstheme="majorBidi"/>
          <w:sz w:val="22"/>
          <w:szCs w:val="22"/>
          <w:lang w:val="en-US"/>
        </w:rPr>
        <w:t>.</w:t>
      </w:r>
      <w:proofErr w:type="gramEnd"/>
      <w:r w:rsidR="000B3F74" w:rsidRPr="001B3DED">
        <w:rPr>
          <w:rFonts w:ascii="Amasis MT Pro" w:eastAsia="Calibri" w:hAnsi="Amasis MT Pro" w:cstheme="majorBidi"/>
          <w:sz w:val="22"/>
          <w:szCs w:val="22"/>
          <w:lang w:val="en-US"/>
        </w:rPr>
        <w:t xml:space="preserve"> </w:t>
      </w:r>
      <w:r w:rsidR="00E3620E" w:rsidRPr="001B3DED">
        <w:rPr>
          <w:rFonts w:ascii="Amasis MT Pro" w:eastAsia="Calibri" w:hAnsi="Amasis MT Pro" w:cstheme="majorBidi"/>
          <w:sz w:val="22"/>
          <w:szCs w:val="22"/>
          <w:lang w:val="en-US"/>
        </w:rPr>
        <w:t>I</w:t>
      </w:r>
      <w:r w:rsidR="003627A2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ncluding</w:t>
      </w:r>
      <w:r w:rsidR="00A976F1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 xml:space="preserve"> 19</w:t>
      </w:r>
      <w:r w:rsidR="003627A2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 cases of juvenile dermatomyositis</w:t>
      </w:r>
      <w:r w:rsidR="008D35F6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.</w:t>
      </w:r>
    </w:p>
    <w:p w14:paraId="5C0DCA97" w14:textId="77777777" w:rsidR="00EE6916" w:rsidRPr="001B3DED" w:rsidRDefault="003627A2" w:rsidP="00D1428C">
      <w:pPr>
        <w:pStyle w:val="NormalWeb"/>
        <w:spacing w:line="212" w:lineRule="atLeast"/>
        <w:jc w:val="both"/>
        <w:rPr>
          <w:rFonts w:ascii="Amasis MT Pro" w:hAnsi="Amasis MT Pro" w:cstheme="majorBidi"/>
          <w:b/>
          <w:bCs/>
          <w:color w:val="000000"/>
          <w:sz w:val="22"/>
          <w:szCs w:val="22"/>
          <w:lang w:val="en-US"/>
        </w:rPr>
      </w:pPr>
      <w:r w:rsidRPr="001B3DED">
        <w:rPr>
          <w:rFonts w:ascii="Amasis MT Pro" w:hAnsi="Amasis MT Pro" w:cstheme="majorBidi"/>
          <w:b/>
          <w:bCs/>
          <w:color w:val="000000"/>
          <w:sz w:val="22"/>
          <w:szCs w:val="22"/>
          <w:lang w:val="en-US"/>
        </w:rPr>
        <w:t>Results:</w:t>
      </w:r>
      <w:r w:rsidR="00562075" w:rsidRPr="001B3DED">
        <w:rPr>
          <w:rFonts w:ascii="Amasis MT Pro" w:hAnsi="Amasis MT Pro" w:cstheme="majorBidi"/>
          <w:b/>
          <w:bCs/>
          <w:color w:val="000000"/>
          <w:sz w:val="22"/>
          <w:szCs w:val="22"/>
          <w:lang w:val="en-US"/>
        </w:rPr>
        <w:t xml:space="preserve"> </w:t>
      </w:r>
      <w:r w:rsidR="008E5D19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The mean age of onset is 6.</w:t>
      </w:r>
      <w:r w:rsidR="00A976F1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5</w:t>
      </w:r>
      <w:r w:rsidR="00EE6916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 years</w:t>
      </w:r>
      <w:r w:rsidR="00A976F1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 xml:space="preserve"> (32 months-15.5 years), The sex ratio (M / F) was </w:t>
      </w:r>
      <w:proofErr w:type="gramStart"/>
      <w:r w:rsidR="00A976F1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0.26</w:t>
      </w:r>
      <w:r w:rsidR="0017049F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 ;</w:t>
      </w:r>
      <w:proofErr w:type="gramEnd"/>
      <w:r w:rsidR="0017049F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 The delay between the onset of sy</w:t>
      </w:r>
      <w:r w:rsidR="00EE6916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m</w:t>
      </w:r>
      <w:r w:rsidR="00A976F1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ptoms and diagnosis averaged 4 months ; At diagnosis 95</w:t>
      </w:r>
      <w:r w:rsidR="00EE6916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 xml:space="preserve"> </w:t>
      </w:r>
      <w:r w:rsidR="0017049F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% had rash,</w:t>
      </w:r>
      <w:r w:rsidR="00A976F1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 xml:space="preserve"> 85</w:t>
      </w:r>
      <w:r w:rsidR="00EE6916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 xml:space="preserve">% of </w:t>
      </w:r>
      <w:proofErr w:type="spellStart"/>
      <w:r w:rsidR="00EE6916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of</w:t>
      </w:r>
      <w:proofErr w:type="spellEnd"/>
      <w:r w:rsidR="00EE6916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 xml:space="preserve"> eyelid telangiectasia</w:t>
      </w:r>
      <w:r w:rsidR="00A976F1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, 8</w:t>
      </w:r>
      <w:r w:rsidR="00EE6916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0 % of nodules </w:t>
      </w:r>
      <w:proofErr w:type="spellStart"/>
      <w:r w:rsidR="00EE6916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Gottron</w:t>
      </w:r>
      <w:proofErr w:type="spellEnd"/>
      <w:r w:rsidR="00EE6916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 , 9</w:t>
      </w:r>
      <w:r w:rsidR="00A976F1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0% muscle weakness, 30% arthritis, 35% fever, and 1</w:t>
      </w:r>
      <w:r w:rsidR="0017049F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5 % a dysphagia</w:t>
      </w:r>
      <w:r w:rsidR="00282AC7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 xml:space="preserve"> </w:t>
      </w:r>
      <w:r w:rsidR="00EE6916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with a case of pericarditis revealing the pathology</w:t>
      </w:r>
      <w:r w:rsidR="0017049F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. The dosage of muscle en</w:t>
      </w:r>
      <w:r w:rsidR="00EE6916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z</w:t>
      </w:r>
      <w:r w:rsidR="00A976F1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ymes was pathological in 18</w:t>
      </w:r>
      <w:r w:rsidR="00EE6916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 </w:t>
      </w:r>
      <w:proofErr w:type="gramStart"/>
      <w:r w:rsidR="00EE6916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cases ;</w:t>
      </w:r>
      <w:proofErr w:type="gramEnd"/>
      <w:r w:rsidR="00EE6916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 Anti-nuclea</w:t>
      </w:r>
      <w:r w:rsidR="00A976F1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r antibodies (ANA) positive in 8</w:t>
      </w:r>
      <w:r w:rsidR="00EE6916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 xml:space="preserve"> </w:t>
      </w:r>
      <w:proofErr w:type="spellStart"/>
      <w:r w:rsidR="00EE6916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cases,Native</w:t>
      </w:r>
      <w:proofErr w:type="spellEnd"/>
      <w:r w:rsidR="00EE6916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 xml:space="preserve"> Anti DNA were positive in a single patient with overlapping </w:t>
      </w:r>
      <w:proofErr w:type="spellStart"/>
      <w:r w:rsidR="00EE6916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myositis.The</w:t>
      </w:r>
      <w:proofErr w:type="spellEnd"/>
      <w:r w:rsidR="00EE6916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 xml:space="preserve"> electromyogram is</w:t>
      </w:r>
      <w:r w:rsidR="00A976F1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 xml:space="preserve"> of the myogenic type for our 19</w:t>
      </w:r>
      <w:r w:rsidR="00EE6916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 xml:space="preserve"> patients; Muscle biopsy was carried out for 10 patients returning non-specific with interstitial and parenchymal myositis. The treatment regimens were variable; they depended on the severity of the initial picture. However, all of the children were treated with corticosteroids as first intention (100%); Methotrexate (MTX) w</w:t>
      </w:r>
      <w:r w:rsidR="00811C90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as prescribed in 15 cases (95</w:t>
      </w:r>
      <w:r w:rsidR="00EE6916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%); Mycophenolate mofetil</w:t>
      </w:r>
      <w:r w:rsidR="00811C90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 xml:space="preserve"> (MMF) and Rituximab in two</w:t>
      </w:r>
      <w:r w:rsidR="00EE6916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 xml:space="preserve"> patient</w:t>
      </w:r>
      <w:r w:rsidR="00811C90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s</w:t>
      </w:r>
      <w:r w:rsidR="00EE6916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 xml:space="preserve">. Bisphosphonates in a single child with extensive </w:t>
      </w:r>
      <w:proofErr w:type="spellStart"/>
      <w:proofErr w:type="gramStart"/>
      <w:r w:rsidR="00EE6916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calcinosis.</w:t>
      </w:r>
      <w:r w:rsidR="00811C90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Polyvalent</w:t>
      </w:r>
      <w:proofErr w:type="spellEnd"/>
      <w:proofErr w:type="gramEnd"/>
      <w:r w:rsidR="00811C90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 xml:space="preserve"> immunoglobulins for 6</w:t>
      </w:r>
      <w:r w:rsidR="00EE6916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 xml:space="preserve"> cases </w:t>
      </w:r>
      <w:r w:rsidR="00E55779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who showed</w:t>
      </w:r>
      <w:r w:rsidR="00EE6916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 xml:space="preserve"> swallowing</w:t>
      </w:r>
      <w:r w:rsidR="00811C90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 xml:space="preserve"> disorders and calcinosis (31.5</w:t>
      </w:r>
      <w:r w:rsidR="00EE6916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%</w:t>
      </w:r>
      <w:r w:rsidR="00811C90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); calcinosis complicated only 6 patients (31.5</w:t>
      </w:r>
      <w:r w:rsidR="00D1428C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%), O</w:t>
      </w:r>
      <w:r w:rsidR="00EE6916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ne child died following aspiration pneumonia</w:t>
      </w:r>
      <w:r w:rsidR="00D1428C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.</w:t>
      </w:r>
    </w:p>
    <w:p w14:paraId="7F56C91D" w14:textId="2EDBB2B1" w:rsidR="001B3DED" w:rsidRPr="001B3DED" w:rsidRDefault="001B3DED" w:rsidP="001B3DED">
      <w:pPr>
        <w:pStyle w:val="NormalWeb"/>
        <w:spacing w:line="212" w:lineRule="atLeast"/>
        <w:jc w:val="both"/>
        <w:rPr>
          <w:rFonts w:ascii="Amasis MT Pro" w:hAnsi="Amasis MT Pro" w:cstheme="majorBidi"/>
          <w:b/>
          <w:bCs/>
          <w:color w:val="000000"/>
          <w:sz w:val="22"/>
          <w:szCs w:val="22"/>
          <w:lang w:val="en-US"/>
        </w:rPr>
      </w:pPr>
      <w:r w:rsidRPr="003D2A3B">
        <w:rPr>
          <w:rFonts w:ascii="Amasis MT Pro" w:eastAsia="Calibri" w:hAnsi="Amasis MT Pro"/>
          <w:lang w:val="en-GB"/>
        </w:rPr>
        <w:drawing>
          <wp:anchor distT="0" distB="0" distL="114300" distR="114300" simplePos="0" relativeHeight="251658240" behindDoc="0" locked="0" layoutInCell="1" allowOverlap="1" wp14:anchorId="0E103AA7" wp14:editId="4003AA04">
            <wp:simplePos x="0" y="0"/>
            <wp:positionH relativeFrom="margin">
              <wp:posOffset>0</wp:posOffset>
            </wp:positionH>
            <wp:positionV relativeFrom="margin">
              <wp:posOffset>7683788</wp:posOffset>
            </wp:positionV>
            <wp:extent cx="5758180" cy="1073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" t="3454" r="1491" b="7316"/>
                    <a:stretch/>
                  </pic:blipFill>
                  <pic:spPr bwMode="auto">
                    <a:xfrm>
                      <a:off x="0" y="0"/>
                      <a:ext cx="5758180" cy="107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204" w:rsidRPr="001B3DED">
        <w:rPr>
          <w:rFonts w:ascii="Amasis MT Pro" w:hAnsi="Amasis MT Pro" w:cstheme="majorBidi"/>
          <w:b/>
          <w:bCs/>
          <w:color w:val="000000"/>
          <w:sz w:val="22"/>
          <w:szCs w:val="22"/>
          <w:lang w:val="en-US"/>
        </w:rPr>
        <w:t>Conclusion</w:t>
      </w:r>
      <w:r w:rsidR="00EE6916" w:rsidRPr="001B3DED">
        <w:rPr>
          <w:rFonts w:ascii="Amasis MT Pro" w:hAnsi="Amasis MT Pro" w:cstheme="majorBidi"/>
          <w:b/>
          <w:bCs/>
          <w:color w:val="000000"/>
          <w:sz w:val="22"/>
          <w:szCs w:val="22"/>
          <w:lang w:val="en-US"/>
        </w:rPr>
        <w:t>:</w:t>
      </w:r>
      <w:r w:rsidR="000B3F74" w:rsidRPr="001B3DED">
        <w:rPr>
          <w:rFonts w:ascii="Amasis MT Pro" w:hAnsi="Amasis MT Pro" w:cstheme="majorBidi"/>
          <w:b/>
          <w:bCs/>
          <w:color w:val="000000"/>
          <w:sz w:val="22"/>
          <w:szCs w:val="22"/>
          <w:lang w:val="en-US"/>
        </w:rPr>
        <w:t xml:space="preserve"> </w:t>
      </w:r>
      <w:r w:rsidR="00EE6916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 xml:space="preserve">Juvenile </w:t>
      </w:r>
      <w:proofErr w:type="spellStart"/>
      <w:r w:rsidR="00EE6916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>dermatomysitis</w:t>
      </w:r>
      <w:proofErr w:type="spellEnd"/>
      <w:r w:rsidR="00EE6916" w:rsidRPr="001B3DED">
        <w:rPr>
          <w:rFonts w:ascii="Amasis MT Pro" w:hAnsi="Amasis MT Pro" w:cstheme="majorBidi"/>
          <w:color w:val="000000"/>
          <w:sz w:val="22"/>
          <w:szCs w:val="22"/>
          <w:lang w:val="en-US"/>
        </w:rPr>
        <w:t xml:space="preserve"> is a rare, serious and chronic condition requiring multidisciplinary care.</w:t>
      </w:r>
    </w:p>
    <w:sectPr w:rsidR="001B3DED" w:rsidRPr="001B3DED" w:rsidSect="00191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9F"/>
    <w:rsid w:val="000B3F74"/>
    <w:rsid w:val="000B4E40"/>
    <w:rsid w:val="000F67DA"/>
    <w:rsid w:val="00116342"/>
    <w:rsid w:val="0017049F"/>
    <w:rsid w:val="0019158E"/>
    <w:rsid w:val="001A6702"/>
    <w:rsid w:val="001B3DED"/>
    <w:rsid w:val="00282AC7"/>
    <w:rsid w:val="002C0C0C"/>
    <w:rsid w:val="00340673"/>
    <w:rsid w:val="003627A2"/>
    <w:rsid w:val="003A019A"/>
    <w:rsid w:val="003C5317"/>
    <w:rsid w:val="00562075"/>
    <w:rsid w:val="00583099"/>
    <w:rsid w:val="005D740A"/>
    <w:rsid w:val="005F26B0"/>
    <w:rsid w:val="00695F1C"/>
    <w:rsid w:val="006D3485"/>
    <w:rsid w:val="00811C90"/>
    <w:rsid w:val="00824EB9"/>
    <w:rsid w:val="0085416C"/>
    <w:rsid w:val="00894B4C"/>
    <w:rsid w:val="008D35F6"/>
    <w:rsid w:val="008E5D19"/>
    <w:rsid w:val="00916D1B"/>
    <w:rsid w:val="00967204"/>
    <w:rsid w:val="00A92727"/>
    <w:rsid w:val="00A976F1"/>
    <w:rsid w:val="00BE0B66"/>
    <w:rsid w:val="00C57160"/>
    <w:rsid w:val="00C64301"/>
    <w:rsid w:val="00D1428C"/>
    <w:rsid w:val="00DC0744"/>
    <w:rsid w:val="00E3620E"/>
    <w:rsid w:val="00E55779"/>
    <w:rsid w:val="00E71A20"/>
    <w:rsid w:val="00EE6916"/>
    <w:rsid w:val="00FA6BC1"/>
    <w:rsid w:val="00FC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8A4CA"/>
  <w15:docId w15:val="{C5954559-92A8-415C-B20B-4B4D1F32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odyText">
    <w:name w:val="Body Text"/>
    <w:basedOn w:val="Normal"/>
    <w:link w:val="BodyTextChar"/>
    <w:uiPriority w:val="1"/>
    <w:qFormat/>
    <w:rsid w:val="0017049F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Times New Roman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17049F"/>
    <w:rPr>
      <w:rFonts w:ascii="Georgia" w:eastAsia="Georgia" w:hAnsi="Georgia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Yara Abi Ghanem</cp:lastModifiedBy>
  <cp:revision>2</cp:revision>
  <dcterms:created xsi:type="dcterms:W3CDTF">2025-04-17T17:07:00Z</dcterms:created>
  <dcterms:modified xsi:type="dcterms:W3CDTF">2025-04-17T17:07:00Z</dcterms:modified>
</cp:coreProperties>
</file>