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1EC8" w14:textId="6BD09CB2" w:rsidR="009905F6" w:rsidRDefault="009905F6">
      <w:pPr>
        <w:rPr>
          <w:rFonts w:asciiTheme="majorBidi" w:eastAsiaTheme="majorBidi" w:hAnsiTheme="majorBidi" w:cstheme="majorBidi"/>
          <w:sz w:val="24"/>
          <w:szCs w:val="24"/>
        </w:rPr>
      </w:pPr>
      <w:r>
        <w:rPr>
          <w:rFonts w:ascii="Amasis MT Pro" w:eastAsia="Calibri" w:hAnsi="Amasis MT Pro" w:cs="Times New Roman"/>
          <w:b/>
          <w:bCs/>
          <w:noProof/>
          <w:lang w:val="en-GB"/>
        </w:rPr>
        <w:drawing>
          <wp:anchor distT="0" distB="0" distL="114300" distR="114300" simplePos="0" relativeHeight="251659264" behindDoc="0" locked="0" layoutInCell="1" allowOverlap="1" wp14:anchorId="3D1841CA" wp14:editId="06CA3229">
            <wp:simplePos x="0" y="0"/>
            <wp:positionH relativeFrom="margin">
              <wp:posOffset>-68580</wp:posOffset>
            </wp:positionH>
            <wp:positionV relativeFrom="margin">
              <wp:posOffset>-320040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10725D4C" w14:textId="4AAA5DAC" w:rsidR="009905F6" w:rsidRPr="009905F6" w:rsidRDefault="009905F6">
      <w:pPr>
        <w:rPr>
          <w:rFonts w:ascii="Amasis MT Pro" w:eastAsiaTheme="majorBidi" w:hAnsi="Amasis MT Pro" w:cstheme="majorBidi"/>
          <w:b/>
          <w:bCs/>
        </w:rPr>
      </w:pPr>
      <w:r w:rsidRPr="009905F6">
        <w:rPr>
          <w:rFonts w:ascii="Amasis MT Pro" w:eastAsiaTheme="majorBidi" w:hAnsi="Amasis MT Pro" w:cstheme="majorBidi"/>
          <w:b/>
          <w:bCs/>
        </w:rPr>
        <w:t>6204</w:t>
      </w:r>
    </w:p>
    <w:p w14:paraId="00000001" w14:textId="3BE30CE4" w:rsidR="002C5E2E" w:rsidRPr="009905F6" w:rsidRDefault="009905F6">
      <w:pPr>
        <w:rPr>
          <w:rFonts w:ascii="Amasis MT Pro" w:eastAsiaTheme="majorBidi" w:hAnsi="Amasis MT Pro" w:cstheme="majorBidi"/>
        </w:rPr>
      </w:pPr>
      <w:r w:rsidRPr="009905F6">
        <w:rPr>
          <w:rFonts w:ascii="Amasis MT Pro" w:eastAsiaTheme="majorBidi" w:hAnsi="Amasis MT Pro" w:cstheme="majorBidi"/>
        </w:rPr>
        <w:t>Background:</w:t>
      </w:r>
    </w:p>
    <w:p w14:paraId="00000002" w14:textId="77777777" w:rsidR="002C5E2E" w:rsidRPr="009905F6" w:rsidRDefault="009905F6">
      <w:pPr>
        <w:rPr>
          <w:rFonts w:ascii="Amasis MT Pro" w:eastAsiaTheme="majorBidi" w:hAnsi="Amasis MT Pro" w:cstheme="majorBidi"/>
        </w:rPr>
      </w:pPr>
      <w:r w:rsidRPr="009905F6">
        <w:rPr>
          <w:rFonts w:ascii="Amasis MT Pro" w:eastAsiaTheme="majorBidi" w:hAnsi="Amasis MT Pro" w:cstheme="majorBidi"/>
        </w:rPr>
        <w:t xml:space="preserve">Renal involvement is a common manifestations of </w:t>
      </w:r>
      <w:r w:rsidRPr="009905F6">
        <w:rPr>
          <w:rFonts w:ascii="Amasis MT Pro" w:eastAsiaTheme="majorBidi" w:hAnsi="Amasis MT Pro" w:cstheme="majorBidi"/>
          <w:color w:val="000000"/>
        </w:rPr>
        <w:t xml:space="preserve">systemic lupus erythematosus (SLE) </w:t>
      </w:r>
      <w:r w:rsidRPr="009905F6">
        <w:rPr>
          <w:rFonts w:ascii="Amasis MT Pro" w:eastAsiaTheme="majorBidi" w:hAnsi="Amasis MT Pro" w:cstheme="majorBidi"/>
        </w:rPr>
        <w:t xml:space="preserve">(30-40%). It is often asymptomatic and can presents solely as </w:t>
      </w:r>
      <w:proofErr w:type="spellStart"/>
      <w:proofErr w:type="gramStart"/>
      <w:r w:rsidRPr="009905F6">
        <w:rPr>
          <w:rFonts w:ascii="Amasis MT Pro" w:eastAsiaTheme="majorBidi" w:hAnsi="Amasis MT Pro" w:cstheme="majorBidi"/>
        </w:rPr>
        <w:t>proteinuria,requiring</w:t>
      </w:r>
      <w:proofErr w:type="spellEnd"/>
      <w:proofErr w:type="gramEnd"/>
      <w:r w:rsidRPr="009905F6">
        <w:rPr>
          <w:rFonts w:ascii="Amasis MT Pro" w:eastAsiaTheme="majorBidi" w:hAnsi="Amasis MT Pro" w:cstheme="majorBidi"/>
        </w:rPr>
        <w:t xml:space="preserve">  systematic </w:t>
      </w:r>
      <w:proofErr w:type="spellStart"/>
      <w:r w:rsidRPr="009905F6">
        <w:rPr>
          <w:rFonts w:ascii="Amasis MT Pro" w:eastAsiaTheme="majorBidi" w:hAnsi="Amasis MT Pro" w:cstheme="majorBidi"/>
        </w:rPr>
        <w:t>screening.</w:t>
      </w:r>
      <w:r w:rsidRPr="009905F6">
        <w:rPr>
          <w:rFonts w:ascii="Amasis MT Pro" w:eastAsiaTheme="majorBidi" w:hAnsi="Amasis MT Pro" w:cstheme="majorBidi"/>
          <w:color w:val="000000"/>
        </w:rPr>
        <w:t>Nutcracker</w:t>
      </w:r>
      <w:proofErr w:type="spellEnd"/>
      <w:r w:rsidRPr="009905F6">
        <w:rPr>
          <w:rFonts w:ascii="Amasis MT Pro" w:eastAsiaTheme="majorBidi" w:hAnsi="Amasis MT Pro" w:cstheme="majorBidi"/>
          <w:color w:val="000000"/>
        </w:rPr>
        <w:t xml:space="preserve"> Syndrome (NCS) is a rare vascular </w:t>
      </w:r>
      <w:r w:rsidRPr="009905F6">
        <w:rPr>
          <w:rFonts w:ascii="Amasis MT Pro" w:eastAsiaTheme="majorBidi" w:hAnsi="Amasis MT Pro" w:cstheme="majorBidi"/>
          <w:color w:val="000000"/>
        </w:rPr>
        <w:t>condition caused by compression of the left renal vein (LRV), typically between the superior mesenteric artery and the aorta, leading to venous congestion, hematuria, and proteinuria. Diagnosis is based on clinical symptoms (abdominal pain), biological mar</w:t>
      </w:r>
      <w:r w:rsidRPr="009905F6">
        <w:rPr>
          <w:rFonts w:ascii="Amasis MT Pro" w:eastAsiaTheme="majorBidi" w:hAnsi="Amasis MT Pro" w:cstheme="majorBidi"/>
          <w:color w:val="000000"/>
        </w:rPr>
        <w:t>kers, and imaging findings</w:t>
      </w:r>
      <w:r w:rsidRPr="009905F6">
        <w:rPr>
          <w:rFonts w:ascii="Amasis MT Pro" w:eastAsiaTheme="majorBidi" w:hAnsi="Amasis MT Pro" w:cstheme="majorBidi"/>
        </w:rPr>
        <w:t>. We report the case of a lupus patient with associated NCS.</w:t>
      </w:r>
    </w:p>
    <w:p w14:paraId="00000003" w14:textId="77777777" w:rsidR="002C5E2E" w:rsidRPr="009905F6" w:rsidRDefault="009905F6">
      <w:pPr>
        <w:rPr>
          <w:rFonts w:ascii="Amasis MT Pro" w:eastAsiaTheme="majorBidi" w:hAnsi="Amasis MT Pro" w:cstheme="majorBidi"/>
        </w:rPr>
      </w:pPr>
      <w:r w:rsidRPr="009905F6">
        <w:rPr>
          <w:rFonts w:ascii="Amasis MT Pro" w:eastAsiaTheme="majorBidi" w:hAnsi="Amasis MT Pro" w:cstheme="majorBidi"/>
        </w:rPr>
        <w:t>Case report:</w:t>
      </w:r>
    </w:p>
    <w:p w14:paraId="00000004" w14:textId="77777777" w:rsidR="002C5E2E" w:rsidRPr="009905F6" w:rsidRDefault="009905F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Amasis MT Pro" w:eastAsiaTheme="majorBidi" w:hAnsi="Amasis MT Pro" w:cstheme="majorBidi"/>
          <w:color w:val="000000"/>
        </w:rPr>
      </w:pPr>
      <w:r w:rsidRPr="009905F6">
        <w:rPr>
          <w:rFonts w:ascii="Amasis MT Pro" w:eastAsiaTheme="majorBidi" w:hAnsi="Amasis MT Pro" w:cstheme="majorBidi"/>
        </w:rPr>
        <w:t>Miss O.H, 16-years-old, was hospitalized for the investigation of i</w:t>
      </w:r>
      <w:r w:rsidRPr="009905F6">
        <w:rPr>
          <w:rFonts w:ascii="Amasis MT Pro" w:eastAsiaTheme="majorBidi" w:hAnsi="Amasis MT Pro" w:cstheme="majorBidi"/>
          <w:color w:val="000000"/>
        </w:rPr>
        <w:t>nflammatory polyarthralgia, a characteristic malar rash, and intermittent abdominal pain.</w:t>
      </w:r>
      <w:r w:rsidRPr="009905F6">
        <w:rPr>
          <w:rFonts w:ascii="Amasis MT Pro" w:eastAsiaTheme="majorBidi" w:hAnsi="Amasis MT Pro" w:cstheme="majorBidi"/>
          <w:color w:val="000000"/>
        </w:rPr>
        <w:t xml:space="preserve"> A series of investigations was conducted, confirming the diagnosis of </w:t>
      </w:r>
      <w:proofErr w:type="gramStart"/>
      <w:r w:rsidRPr="009905F6">
        <w:rPr>
          <w:rFonts w:ascii="Amasis MT Pro" w:eastAsiaTheme="majorBidi" w:hAnsi="Amasis MT Pro" w:cstheme="majorBidi"/>
          <w:color w:val="000000"/>
        </w:rPr>
        <w:t>SLE(</w:t>
      </w:r>
      <w:r w:rsidRPr="009905F6">
        <w:rPr>
          <w:rFonts w:ascii="Amasis MT Pro" w:eastAsiaTheme="majorBidi" w:hAnsi="Amasis MT Pro" w:cstheme="majorBidi"/>
        </w:rPr>
        <w:t xml:space="preserve"> ANA</w:t>
      </w:r>
      <w:proofErr w:type="gramEnd"/>
      <w:r w:rsidRPr="009905F6">
        <w:rPr>
          <w:rFonts w:ascii="Amasis MT Pro" w:eastAsiaTheme="majorBidi" w:hAnsi="Amasis MT Pro" w:cstheme="majorBidi"/>
        </w:rPr>
        <w:t xml:space="preserve"> 1/1000, strongly positive anti-</w:t>
      </w:r>
      <w:proofErr w:type="spellStart"/>
      <w:r w:rsidRPr="009905F6">
        <w:rPr>
          <w:rFonts w:ascii="Amasis MT Pro" w:eastAsiaTheme="majorBidi" w:hAnsi="Amasis MT Pro" w:cstheme="majorBidi"/>
        </w:rPr>
        <w:t>DNAdb</w:t>
      </w:r>
      <w:proofErr w:type="spellEnd"/>
      <w:r w:rsidRPr="009905F6">
        <w:rPr>
          <w:rFonts w:ascii="Amasis MT Pro" w:eastAsiaTheme="majorBidi" w:hAnsi="Amasis MT Pro" w:cstheme="majorBidi"/>
        </w:rPr>
        <w:t xml:space="preserve">, negative antiphospholipid antibodies, </w:t>
      </w:r>
      <w:proofErr w:type="spellStart"/>
      <w:r w:rsidRPr="009905F6">
        <w:rPr>
          <w:rFonts w:ascii="Amasis MT Pro" w:eastAsiaTheme="majorBidi" w:hAnsi="Amasis MT Pro" w:cstheme="majorBidi"/>
        </w:rPr>
        <w:t>bicytopenia</w:t>
      </w:r>
      <w:proofErr w:type="spellEnd"/>
      <w:r w:rsidRPr="009905F6">
        <w:rPr>
          <w:rFonts w:ascii="Amasis MT Pro" w:eastAsiaTheme="majorBidi" w:hAnsi="Amasis MT Pro" w:cstheme="majorBidi"/>
        </w:rPr>
        <w:t xml:space="preserve"> [thrombocytopenia, anemia] on blood count, and 24-hour proteinuria (&gt;1g/24h), with hemat</w:t>
      </w:r>
      <w:r w:rsidRPr="009905F6">
        <w:rPr>
          <w:rFonts w:ascii="Amasis MT Pro" w:eastAsiaTheme="majorBidi" w:hAnsi="Amasis MT Pro" w:cstheme="majorBidi"/>
        </w:rPr>
        <w:t xml:space="preserve">uria but normal renal function). An abdominal ultrasound did not reveal any anomalies explaining the abdominal pain. However, an angio-CT scan revealed </w:t>
      </w:r>
      <w:r w:rsidRPr="009905F6">
        <w:rPr>
          <w:rFonts w:ascii="Amasis MT Pro" w:eastAsiaTheme="majorBidi" w:hAnsi="Amasis MT Pro" w:cstheme="majorBidi"/>
          <w:color w:val="000000"/>
        </w:rPr>
        <w:t>pelvic venous congestion due to LRV compression, consistent with NCS.</w:t>
      </w:r>
    </w:p>
    <w:p w14:paraId="00000005" w14:textId="77777777" w:rsidR="002C5E2E" w:rsidRPr="009905F6" w:rsidRDefault="002C5E2E">
      <w:pPr>
        <w:rPr>
          <w:rFonts w:ascii="Amasis MT Pro" w:eastAsiaTheme="majorBidi" w:hAnsi="Amasis MT Pro" w:cstheme="majorBidi"/>
        </w:rPr>
      </w:pPr>
    </w:p>
    <w:p w14:paraId="00000006" w14:textId="77777777" w:rsidR="002C5E2E" w:rsidRPr="009905F6" w:rsidRDefault="009905F6">
      <w:pPr>
        <w:rPr>
          <w:rFonts w:ascii="Amasis MT Pro" w:eastAsiaTheme="majorBidi" w:hAnsi="Amasis MT Pro" w:cstheme="majorBidi"/>
        </w:rPr>
      </w:pPr>
      <w:r w:rsidRPr="009905F6">
        <w:rPr>
          <w:rFonts w:ascii="Amasis MT Pro" w:eastAsiaTheme="majorBidi" w:hAnsi="Amasis MT Pro" w:cstheme="majorBidi"/>
        </w:rPr>
        <w:t>In the investigation of proteinur</w:t>
      </w:r>
      <w:r w:rsidRPr="009905F6">
        <w:rPr>
          <w:rFonts w:ascii="Amasis MT Pro" w:eastAsiaTheme="majorBidi" w:hAnsi="Amasis MT Pro" w:cstheme="majorBidi"/>
        </w:rPr>
        <w:t xml:space="preserve">ia </w:t>
      </w:r>
      <w:proofErr w:type="gramStart"/>
      <w:r w:rsidRPr="009905F6">
        <w:rPr>
          <w:rFonts w:ascii="Amasis MT Pro" w:eastAsiaTheme="majorBidi" w:hAnsi="Amasis MT Pro" w:cstheme="majorBidi"/>
        </w:rPr>
        <w:t>( lupus</w:t>
      </w:r>
      <w:proofErr w:type="gramEnd"/>
      <w:r w:rsidRPr="009905F6">
        <w:rPr>
          <w:rFonts w:ascii="Amasis MT Pro" w:eastAsiaTheme="majorBidi" w:hAnsi="Amasis MT Pro" w:cstheme="majorBidi"/>
        </w:rPr>
        <w:t xml:space="preserve"> versus NCS), daytime and nighttime proteinuria tests were conducted, alongside a kidney biopsy, which confirmed the lupus origin of proteinuria: Stage IIIA lupus nephritis. The patient was treated with corticosteroid pulses (500 mg/day for three</w:t>
      </w:r>
      <w:r w:rsidRPr="009905F6">
        <w:rPr>
          <w:rFonts w:ascii="Amasis MT Pro" w:eastAsiaTheme="majorBidi" w:hAnsi="Amasis MT Pro" w:cstheme="majorBidi"/>
        </w:rPr>
        <w:t xml:space="preserve"> days) and Mycophenolate Mofetil (3g/day</w:t>
      </w:r>
      <w:proofErr w:type="gramStart"/>
      <w:r w:rsidRPr="009905F6">
        <w:rPr>
          <w:rFonts w:ascii="Amasis MT Pro" w:eastAsiaTheme="majorBidi" w:hAnsi="Amasis MT Pro" w:cstheme="majorBidi"/>
        </w:rPr>
        <w:t>),</w:t>
      </w:r>
      <w:r w:rsidRPr="009905F6">
        <w:rPr>
          <w:rFonts w:ascii="Amasis MT Pro" w:eastAsiaTheme="majorBidi" w:hAnsi="Amasis MT Pro" w:cstheme="majorBidi"/>
          <w:color w:val="000000"/>
        </w:rPr>
        <w:t>leading</w:t>
      </w:r>
      <w:proofErr w:type="gramEnd"/>
      <w:r w:rsidRPr="009905F6">
        <w:rPr>
          <w:rFonts w:ascii="Amasis MT Pro" w:eastAsiaTheme="majorBidi" w:hAnsi="Amasis MT Pro" w:cstheme="majorBidi"/>
          <w:color w:val="000000"/>
        </w:rPr>
        <w:t xml:space="preserve"> to significant improvement and resolution of proteinuria</w:t>
      </w:r>
      <w:r w:rsidRPr="009905F6">
        <w:rPr>
          <w:rFonts w:ascii="Amasis MT Pro" w:eastAsiaTheme="majorBidi" w:hAnsi="Amasis MT Pro" w:cstheme="majorBidi"/>
        </w:rPr>
        <w:t>.</w:t>
      </w:r>
    </w:p>
    <w:p w14:paraId="00000007" w14:textId="77777777" w:rsidR="002C5E2E" w:rsidRPr="009905F6" w:rsidRDefault="009905F6">
      <w:pPr>
        <w:rPr>
          <w:rFonts w:ascii="Amasis MT Pro" w:eastAsiaTheme="majorBidi" w:hAnsi="Amasis MT Pro" w:cstheme="majorBidi"/>
        </w:rPr>
      </w:pPr>
      <w:r w:rsidRPr="009905F6">
        <w:rPr>
          <w:rFonts w:ascii="Amasis MT Pro" w:eastAsiaTheme="majorBidi" w:hAnsi="Amasis MT Pro" w:cstheme="majorBidi"/>
        </w:rPr>
        <w:t>Discussion:</w:t>
      </w:r>
    </w:p>
    <w:p w14:paraId="00000008" w14:textId="77777777" w:rsidR="002C5E2E" w:rsidRPr="009905F6" w:rsidRDefault="009905F6">
      <w:pPr>
        <w:rPr>
          <w:rFonts w:ascii="Amasis MT Pro" w:eastAsiaTheme="majorBidi" w:hAnsi="Amasis MT Pro" w:cstheme="majorBidi"/>
        </w:rPr>
      </w:pPr>
      <w:r w:rsidRPr="009905F6">
        <w:rPr>
          <w:rFonts w:ascii="Amasis MT Pro" w:eastAsiaTheme="majorBidi" w:hAnsi="Amasis MT Pro" w:cstheme="majorBidi"/>
          <w:color w:val="000000"/>
        </w:rPr>
        <w:t>This case highlights the diagnostic challenge of distinguishing lupus nephritis from proteinuria due to NCS. While lupus nephritis resul</w:t>
      </w:r>
      <w:r w:rsidRPr="009905F6">
        <w:rPr>
          <w:rFonts w:ascii="Amasis MT Pro" w:eastAsiaTheme="majorBidi" w:hAnsi="Amasis MT Pro" w:cstheme="majorBidi"/>
          <w:color w:val="000000"/>
        </w:rPr>
        <w:t>ts from immune-mediated glomerular damage, NCS can exacerbate renal dysfunction through increased venous pressure. A thorough assessment, including imaging and renal biopsy, is crucial for accurate diagnosis and treatment</w:t>
      </w:r>
    </w:p>
    <w:p w14:paraId="00000009" w14:textId="77777777" w:rsidR="002C5E2E" w:rsidRPr="009905F6" w:rsidRDefault="009905F6">
      <w:pPr>
        <w:rPr>
          <w:rFonts w:ascii="Amasis MT Pro" w:eastAsiaTheme="majorBidi" w:hAnsi="Amasis MT Pro" w:cstheme="majorBidi"/>
        </w:rPr>
      </w:pPr>
      <w:r w:rsidRPr="009905F6">
        <w:rPr>
          <w:rFonts w:ascii="Amasis MT Pro" w:eastAsiaTheme="majorBidi" w:hAnsi="Amasis MT Pro" w:cstheme="majorBidi"/>
        </w:rPr>
        <w:t>Conclusion:</w:t>
      </w:r>
    </w:p>
    <w:p w14:paraId="0000000A" w14:textId="4E4151A7" w:rsidR="002C5E2E" w:rsidRPr="009905F6" w:rsidRDefault="009905F6">
      <w:pPr>
        <w:rPr>
          <w:rFonts w:ascii="Amasis MT Pro" w:eastAsiaTheme="majorBidi" w:hAnsi="Amasis MT Pro" w:cstheme="majorBidi"/>
        </w:rPr>
      </w:pPr>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68FED52F" wp14:editId="74FF7B53">
            <wp:simplePos x="0" y="0"/>
            <wp:positionH relativeFrom="margin">
              <wp:posOffset>0</wp:posOffset>
            </wp:positionH>
            <wp:positionV relativeFrom="margin">
              <wp:posOffset>8351520</wp:posOffset>
            </wp:positionV>
            <wp:extent cx="572262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72262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05F6">
        <w:rPr>
          <w:rFonts w:ascii="Amasis MT Pro" w:eastAsiaTheme="majorBidi" w:hAnsi="Amasis MT Pro" w:cstheme="majorBidi"/>
        </w:rPr>
        <w:t>NCS is a rare conditio</w:t>
      </w:r>
      <w:r w:rsidRPr="009905F6">
        <w:rPr>
          <w:rFonts w:ascii="Amasis MT Pro" w:eastAsiaTheme="majorBidi" w:hAnsi="Amasis MT Pro" w:cstheme="majorBidi"/>
        </w:rPr>
        <w:t>n to consider in cases of unexplained abdominal pain in young individuals, especially when associated with proteinuria and/or hematuria. Management depends on the severity of symptoms and may involve either observation or surgical treatment.</w:t>
      </w:r>
    </w:p>
    <w:p w14:paraId="0000000B" w14:textId="723AA10D" w:rsidR="002C5E2E" w:rsidRPr="009905F6" w:rsidRDefault="002C5E2E">
      <w:pPr>
        <w:rPr>
          <w:rFonts w:ascii="Amasis MT Pro" w:eastAsiaTheme="majorBidi" w:hAnsi="Amasis MT Pro" w:cstheme="majorBidi"/>
        </w:rPr>
      </w:pPr>
    </w:p>
    <w:sectPr w:rsidR="002C5E2E" w:rsidRPr="009905F6">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masis MT Pro">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2E"/>
    <w:rsid w:val="002C5E2E"/>
    <w:rsid w:val="009905F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2C13"/>
  <w15:docId w15:val="{C5954559-92A8-415C-B20B-4B4D1F32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Par défau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Hanine Abdeddaim</dc:creator>
  <cp:lastModifiedBy>Yara Abi Ghanem</cp:lastModifiedBy>
  <cp:revision>2</cp:revision>
  <dcterms:created xsi:type="dcterms:W3CDTF">2025-04-17T16:47:00Z</dcterms:created>
  <dcterms:modified xsi:type="dcterms:W3CDTF">2025-04-17T16:47:00Z</dcterms:modified>
</cp:coreProperties>
</file>