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B958" w14:textId="259C53B0" w:rsidR="00A26917" w:rsidRDefault="00A26917" w:rsidP="0080332F">
      <w:pPr>
        <w:spacing w:before="100" w:beforeAutospacing="1" w:after="100" w:afterAutospacing="1" w:line="240" w:lineRule="auto"/>
        <w:outlineLvl w:val="2"/>
        <w:rPr>
          <w:rFonts w:ascii="Times New Roman" w:eastAsia="Times New Roman" w:hAnsi="Times New Roman" w:cs="Times New Roman"/>
          <w:b/>
          <w:bCs/>
          <w:sz w:val="27"/>
          <w:szCs w:val="27"/>
          <w:lang/>
        </w:rPr>
      </w:pPr>
      <w:r>
        <w:rPr>
          <w:rFonts w:ascii="Amasis MT Pro" w:eastAsia="Calibri" w:hAnsi="Amasis MT Pro" w:cs="Times New Roman"/>
          <w:b/>
          <w:bCs/>
          <w:noProof/>
          <w:lang w:val="en-GB"/>
        </w:rPr>
        <w:drawing>
          <wp:anchor distT="0" distB="0" distL="114300" distR="114300" simplePos="0" relativeHeight="251659264" behindDoc="0" locked="0" layoutInCell="1" allowOverlap="1" wp14:anchorId="79433EC2" wp14:editId="25F879BF">
            <wp:simplePos x="0" y="0"/>
            <wp:positionH relativeFrom="margin">
              <wp:align>center</wp:align>
            </wp:positionH>
            <wp:positionV relativeFrom="margin">
              <wp:posOffset>-327660</wp:posOffset>
            </wp:positionV>
            <wp:extent cx="5894705" cy="7524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5894705" cy="752475"/>
                    </a:xfrm>
                    <a:prstGeom prst="rect">
                      <a:avLst/>
                    </a:prstGeom>
                  </pic:spPr>
                </pic:pic>
              </a:graphicData>
            </a:graphic>
            <wp14:sizeRelH relativeFrom="margin">
              <wp14:pctWidth>0</wp14:pctWidth>
            </wp14:sizeRelH>
          </wp:anchor>
        </w:drawing>
      </w:r>
    </w:p>
    <w:p w14:paraId="1A5CB0AD" w14:textId="554BC344" w:rsidR="00A26917" w:rsidRPr="00A26917" w:rsidRDefault="00A26917" w:rsidP="0080332F">
      <w:pPr>
        <w:spacing w:before="100" w:beforeAutospacing="1" w:after="100" w:afterAutospacing="1" w:line="240" w:lineRule="auto"/>
        <w:outlineLvl w:val="2"/>
        <w:rPr>
          <w:rFonts w:ascii="Amasis MT Pro" w:eastAsia="Times New Roman" w:hAnsi="Amasis MT Pro" w:cs="Times New Roman"/>
          <w:b/>
          <w:bCs/>
          <w:lang w:val="en-US"/>
        </w:rPr>
      </w:pPr>
      <w:r w:rsidRPr="00A26917">
        <w:rPr>
          <w:rFonts w:ascii="Amasis MT Pro" w:eastAsia="Times New Roman" w:hAnsi="Amasis MT Pro" w:cs="Times New Roman"/>
          <w:b/>
          <w:bCs/>
          <w:lang w:val="en-US"/>
        </w:rPr>
        <w:t>6316</w:t>
      </w:r>
    </w:p>
    <w:p w14:paraId="4CA55E0F" w14:textId="25110E42" w:rsidR="0080332F" w:rsidRPr="00A26917" w:rsidRDefault="0080332F" w:rsidP="0080332F">
      <w:pPr>
        <w:spacing w:before="100" w:beforeAutospacing="1" w:after="100" w:afterAutospacing="1" w:line="240" w:lineRule="auto"/>
        <w:outlineLvl w:val="2"/>
        <w:rPr>
          <w:rFonts w:ascii="Amasis MT Pro" w:eastAsia="Times New Roman" w:hAnsi="Amasis MT Pro" w:cs="Times New Roman"/>
          <w:b/>
          <w:bCs/>
          <w:lang/>
        </w:rPr>
      </w:pPr>
      <w:r w:rsidRPr="00A26917">
        <w:rPr>
          <w:rFonts w:ascii="Amasis MT Pro" w:eastAsia="Times New Roman" w:hAnsi="Amasis MT Pro" w:cs="Times New Roman"/>
          <w:b/>
          <w:bCs/>
          <w:lang/>
        </w:rPr>
        <w:t>Hip Involvement in Ankylosing Spondylitis: A Retrospective Study of 15 Cases</w:t>
      </w:r>
    </w:p>
    <w:p w14:paraId="7F164667" w14:textId="77777777" w:rsidR="0080332F" w:rsidRPr="00A26917" w:rsidRDefault="0080332F" w:rsidP="0080332F">
      <w:pPr>
        <w:spacing w:before="100" w:beforeAutospacing="1" w:after="100" w:afterAutospacing="1" w:line="240" w:lineRule="auto"/>
        <w:outlineLvl w:val="2"/>
        <w:rPr>
          <w:rFonts w:ascii="Amasis MT Pro" w:eastAsia="Times New Roman" w:hAnsi="Amasis MT Pro" w:cs="Times New Roman"/>
          <w:b/>
          <w:bCs/>
          <w:lang/>
        </w:rPr>
      </w:pPr>
      <w:r w:rsidRPr="00A26917">
        <w:rPr>
          <w:rFonts w:ascii="Amasis MT Pro" w:eastAsia="Times New Roman" w:hAnsi="Amasis MT Pro" w:cs="Times New Roman"/>
          <w:b/>
          <w:bCs/>
          <w:lang/>
        </w:rPr>
        <w:t>Introduction</w:t>
      </w:r>
    </w:p>
    <w:p w14:paraId="1497DF46" w14:textId="77777777" w:rsidR="0080332F" w:rsidRPr="00A26917" w:rsidRDefault="0080332F" w:rsidP="0080332F">
      <w:pPr>
        <w:spacing w:before="100" w:beforeAutospacing="1" w:after="100" w:afterAutospacing="1" w:line="240" w:lineRule="auto"/>
        <w:rPr>
          <w:rFonts w:ascii="Amasis MT Pro" w:eastAsia="Times New Roman" w:hAnsi="Amasis MT Pro" w:cs="Times New Roman"/>
          <w:lang/>
        </w:rPr>
      </w:pPr>
      <w:r w:rsidRPr="00A26917">
        <w:rPr>
          <w:rFonts w:ascii="Amasis MT Pro" w:eastAsia="Times New Roman" w:hAnsi="Amasis MT Pro" w:cs="Times New Roman"/>
          <w:lang/>
        </w:rPr>
        <w:t>Hip involvement (coxitis) is a severe complication of ankylosing spondylitis (AS) that significantly impacts functional prognosis. It can be present at disease onset or develop during its course. Coxitis is associated with higher disease activity, disability, and the need for early therapeutic intervention.</w:t>
      </w:r>
    </w:p>
    <w:p w14:paraId="215D2BAA" w14:textId="77777777" w:rsidR="0080332F" w:rsidRPr="00A26917" w:rsidRDefault="0080332F" w:rsidP="0080332F">
      <w:pPr>
        <w:spacing w:before="100" w:beforeAutospacing="1" w:after="100" w:afterAutospacing="1" w:line="240" w:lineRule="auto"/>
        <w:outlineLvl w:val="2"/>
        <w:rPr>
          <w:rFonts w:ascii="Amasis MT Pro" w:eastAsia="Times New Roman" w:hAnsi="Amasis MT Pro" w:cs="Times New Roman"/>
          <w:b/>
          <w:bCs/>
          <w:lang/>
        </w:rPr>
      </w:pPr>
      <w:r w:rsidRPr="00A26917">
        <w:rPr>
          <w:rFonts w:ascii="Amasis MT Pro" w:eastAsia="Times New Roman" w:hAnsi="Amasis MT Pro" w:cs="Times New Roman"/>
          <w:b/>
          <w:bCs/>
          <w:lang/>
        </w:rPr>
        <w:t>Objective</w:t>
      </w:r>
    </w:p>
    <w:p w14:paraId="0E60EB2F" w14:textId="77777777" w:rsidR="0080332F" w:rsidRPr="00A26917" w:rsidRDefault="0080332F" w:rsidP="0080332F">
      <w:pPr>
        <w:spacing w:before="100" w:beforeAutospacing="1" w:after="100" w:afterAutospacing="1" w:line="240" w:lineRule="auto"/>
        <w:rPr>
          <w:rFonts w:ascii="Amasis MT Pro" w:eastAsia="Times New Roman" w:hAnsi="Amasis MT Pro" w:cs="Times New Roman"/>
          <w:lang/>
        </w:rPr>
      </w:pPr>
      <w:r w:rsidRPr="00A26917">
        <w:rPr>
          <w:rFonts w:ascii="Amasis MT Pro" w:eastAsia="Times New Roman" w:hAnsi="Amasis MT Pro" w:cs="Times New Roman"/>
          <w:lang/>
        </w:rPr>
        <w:t>This study aims to assess the frequency, clinical characteristics, and management of coxitis in AS patients. A secondary objective is to evaluate the efficacy of TNF-</w:t>
      </w:r>
      <w:r w:rsidRPr="00A26917">
        <w:rPr>
          <w:rFonts w:ascii="Cambria" w:eastAsia="Times New Roman" w:hAnsi="Cambria" w:cs="Cambria"/>
          <w:lang/>
        </w:rPr>
        <w:t>α</w:t>
      </w:r>
      <w:r w:rsidRPr="00A26917">
        <w:rPr>
          <w:rFonts w:ascii="Amasis MT Pro" w:eastAsia="Times New Roman" w:hAnsi="Amasis MT Pro" w:cs="Times New Roman"/>
          <w:lang/>
        </w:rPr>
        <w:t xml:space="preserve"> inhibitors combined with immunosuppressive therapy.</w:t>
      </w:r>
    </w:p>
    <w:p w14:paraId="372B160F" w14:textId="77777777" w:rsidR="0080332F" w:rsidRPr="00A26917" w:rsidRDefault="0080332F" w:rsidP="0080332F">
      <w:pPr>
        <w:spacing w:before="100" w:beforeAutospacing="1" w:after="100" w:afterAutospacing="1" w:line="240" w:lineRule="auto"/>
        <w:outlineLvl w:val="2"/>
        <w:rPr>
          <w:rFonts w:ascii="Amasis MT Pro" w:eastAsia="Times New Roman" w:hAnsi="Amasis MT Pro" w:cs="Times New Roman"/>
          <w:b/>
          <w:bCs/>
          <w:lang/>
        </w:rPr>
      </w:pPr>
      <w:r w:rsidRPr="00A26917">
        <w:rPr>
          <w:rFonts w:ascii="Amasis MT Pro" w:eastAsia="Times New Roman" w:hAnsi="Amasis MT Pro" w:cs="Times New Roman"/>
          <w:b/>
          <w:bCs/>
          <w:lang/>
        </w:rPr>
        <w:t>Methods</w:t>
      </w:r>
    </w:p>
    <w:p w14:paraId="0AFA08D5" w14:textId="77777777" w:rsidR="0080332F" w:rsidRPr="00A26917" w:rsidRDefault="0080332F" w:rsidP="0080332F">
      <w:pPr>
        <w:spacing w:before="100" w:beforeAutospacing="1" w:after="100" w:afterAutospacing="1" w:line="240" w:lineRule="auto"/>
        <w:rPr>
          <w:rFonts w:ascii="Amasis MT Pro" w:eastAsia="Times New Roman" w:hAnsi="Amasis MT Pro" w:cs="Times New Roman"/>
          <w:lang/>
        </w:rPr>
      </w:pPr>
      <w:r w:rsidRPr="00A26917">
        <w:rPr>
          <w:rFonts w:ascii="Amasis MT Pro" w:eastAsia="Times New Roman" w:hAnsi="Amasis MT Pro" w:cs="Times New Roman"/>
          <w:lang/>
        </w:rPr>
        <w:t xml:space="preserve">A retrospective, monocentric, descriptive study was conducted over </w:t>
      </w:r>
      <w:r w:rsidRPr="00A26917">
        <w:rPr>
          <w:rFonts w:ascii="Amasis MT Pro" w:eastAsia="Times New Roman" w:hAnsi="Amasis MT Pro" w:cs="Times New Roman"/>
          <w:b/>
          <w:bCs/>
          <w:lang/>
        </w:rPr>
        <w:t>9 years (2013–2022)</w:t>
      </w:r>
      <w:r w:rsidRPr="00A26917">
        <w:rPr>
          <w:rFonts w:ascii="Amasis MT Pro" w:eastAsia="Times New Roman" w:hAnsi="Amasis MT Pro" w:cs="Times New Roman"/>
          <w:lang/>
        </w:rPr>
        <w:t xml:space="preserve"> in an internal medicine department. </w:t>
      </w:r>
      <w:r w:rsidRPr="00A26917">
        <w:rPr>
          <w:rFonts w:ascii="Amasis MT Pro" w:eastAsia="Times New Roman" w:hAnsi="Amasis MT Pro" w:cs="Times New Roman"/>
          <w:b/>
          <w:bCs/>
          <w:lang/>
        </w:rPr>
        <w:t>Fifteen cases of AS with hip involvement</w:t>
      </w:r>
      <w:r w:rsidRPr="00A26917">
        <w:rPr>
          <w:rFonts w:ascii="Amasis MT Pro" w:eastAsia="Times New Roman" w:hAnsi="Amasis MT Pro" w:cs="Times New Roman"/>
          <w:lang/>
        </w:rPr>
        <w:t xml:space="preserve"> were identified among </w:t>
      </w:r>
      <w:r w:rsidRPr="00A26917">
        <w:rPr>
          <w:rFonts w:ascii="Amasis MT Pro" w:eastAsia="Times New Roman" w:hAnsi="Amasis MT Pro" w:cs="Times New Roman"/>
          <w:b/>
          <w:bCs/>
          <w:lang/>
        </w:rPr>
        <w:t>122 AS patients</w:t>
      </w:r>
      <w:r w:rsidRPr="00A26917">
        <w:rPr>
          <w:rFonts w:ascii="Amasis MT Pro" w:eastAsia="Times New Roman" w:hAnsi="Amasis MT Pro" w:cs="Times New Roman"/>
          <w:lang/>
        </w:rPr>
        <w:t xml:space="preserve">. Diagnosis was based on </w:t>
      </w:r>
      <w:r w:rsidRPr="00A26917">
        <w:rPr>
          <w:rFonts w:ascii="Amasis MT Pro" w:eastAsia="Times New Roman" w:hAnsi="Amasis MT Pro" w:cs="Times New Roman"/>
          <w:b/>
          <w:bCs/>
          <w:lang/>
        </w:rPr>
        <w:t>European Spondylarthropathy Study Group (ESSG) criteria</w:t>
      </w:r>
      <w:r w:rsidRPr="00A26917">
        <w:rPr>
          <w:rFonts w:ascii="Amasis MT Pro" w:eastAsia="Times New Roman" w:hAnsi="Amasis MT Pro" w:cs="Times New Roman"/>
          <w:lang/>
        </w:rPr>
        <w:t xml:space="preserve">. Disease activity was evaluated using the </w:t>
      </w:r>
      <w:r w:rsidRPr="00A26917">
        <w:rPr>
          <w:rFonts w:ascii="Amasis MT Pro" w:eastAsia="Times New Roman" w:hAnsi="Amasis MT Pro" w:cs="Times New Roman"/>
          <w:b/>
          <w:bCs/>
          <w:lang/>
        </w:rPr>
        <w:t>Bath Ankylosing Spondylitis Disease Activity Index (BASDAI)</w:t>
      </w:r>
      <w:r w:rsidRPr="00A26917">
        <w:rPr>
          <w:rFonts w:ascii="Amasis MT Pro" w:eastAsia="Times New Roman" w:hAnsi="Amasis MT Pro" w:cs="Times New Roman"/>
          <w:lang/>
        </w:rPr>
        <w:t xml:space="preserve"> and </w:t>
      </w:r>
      <w:r w:rsidRPr="00A26917">
        <w:rPr>
          <w:rFonts w:ascii="Amasis MT Pro" w:eastAsia="Times New Roman" w:hAnsi="Amasis MT Pro" w:cs="Times New Roman"/>
          <w:b/>
          <w:bCs/>
          <w:lang/>
        </w:rPr>
        <w:t>Ankylosing Spondylitis Disease Activity Score (ASDAS)</w:t>
      </w:r>
      <w:r w:rsidRPr="00A26917">
        <w:rPr>
          <w:rFonts w:ascii="Amasis MT Pro" w:eastAsia="Times New Roman" w:hAnsi="Amasis MT Pro" w:cs="Times New Roman"/>
          <w:lang/>
        </w:rPr>
        <w:t xml:space="preserve">, while functional impact was assessed with the </w:t>
      </w:r>
      <w:r w:rsidRPr="00A26917">
        <w:rPr>
          <w:rFonts w:ascii="Amasis MT Pro" w:eastAsia="Times New Roman" w:hAnsi="Amasis MT Pro" w:cs="Times New Roman"/>
          <w:b/>
          <w:bCs/>
          <w:lang/>
        </w:rPr>
        <w:t>Bath Ankylosing Spondylitis Functional Index (BASFI)</w:t>
      </w:r>
      <w:r w:rsidRPr="00A26917">
        <w:rPr>
          <w:rFonts w:ascii="Amasis MT Pro" w:eastAsia="Times New Roman" w:hAnsi="Amasis MT Pro" w:cs="Times New Roman"/>
          <w:lang/>
        </w:rPr>
        <w:t xml:space="preserve">. All patients received </w:t>
      </w:r>
      <w:r w:rsidRPr="00A26917">
        <w:rPr>
          <w:rFonts w:ascii="Amasis MT Pro" w:eastAsia="Times New Roman" w:hAnsi="Amasis MT Pro" w:cs="Times New Roman"/>
          <w:b/>
          <w:bCs/>
          <w:lang/>
        </w:rPr>
        <w:t>TNF-</w:t>
      </w:r>
      <w:r w:rsidRPr="00A26917">
        <w:rPr>
          <w:rFonts w:ascii="Cambria" w:eastAsia="Times New Roman" w:hAnsi="Cambria" w:cs="Cambria"/>
          <w:b/>
          <w:bCs/>
          <w:lang/>
        </w:rPr>
        <w:t>α</w:t>
      </w:r>
      <w:r w:rsidRPr="00A26917">
        <w:rPr>
          <w:rFonts w:ascii="Amasis MT Pro" w:eastAsia="Times New Roman" w:hAnsi="Amasis MT Pro" w:cs="Times New Roman"/>
          <w:b/>
          <w:bCs/>
          <w:lang/>
        </w:rPr>
        <w:t xml:space="preserve"> inhibitors</w:t>
      </w:r>
      <w:r w:rsidRPr="00A26917">
        <w:rPr>
          <w:rFonts w:ascii="Amasis MT Pro" w:eastAsia="Times New Roman" w:hAnsi="Amasis MT Pro" w:cs="Times New Roman"/>
          <w:lang/>
        </w:rPr>
        <w:t xml:space="preserve"> with </w:t>
      </w:r>
      <w:r w:rsidRPr="00A26917">
        <w:rPr>
          <w:rFonts w:ascii="Amasis MT Pro" w:eastAsia="Times New Roman" w:hAnsi="Amasis MT Pro" w:cs="Times New Roman"/>
          <w:b/>
          <w:bCs/>
          <w:lang/>
        </w:rPr>
        <w:t>immunosuppressive therapy</w:t>
      </w:r>
      <w:r w:rsidRPr="00A26917">
        <w:rPr>
          <w:rFonts w:ascii="Amasis MT Pro" w:eastAsia="Times New Roman" w:hAnsi="Amasis MT Pro" w:cs="Times New Roman"/>
          <w:lang/>
        </w:rPr>
        <w:t>.</w:t>
      </w:r>
    </w:p>
    <w:p w14:paraId="35317C84" w14:textId="77777777" w:rsidR="0080332F" w:rsidRPr="00A26917" w:rsidRDefault="0080332F" w:rsidP="0080332F">
      <w:pPr>
        <w:spacing w:before="100" w:beforeAutospacing="1" w:after="100" w:afterAutospacing="1" w:line="240" w:lineRule="auto"/>
        <w:outlineLvl w:val="2"/>
        <w:rPr>
          <w:rFonts w:ascii="Amasis MT Pro" w:eastAsia="Times New Roman" w:hAnsi="Amasis MT Pro" w:cs="Times New Roman"/>
          <w:b/>
          <w:bCs/>
          <w:lang/>
        </w:rPr>
      </w:pPr>
      <w:r w:rsidRPr="00A26917">
        <w:rPr>
          <w:rFonts w:ascii="Amasis MT Pro" w:eastAsia="Times New Roman" w:hAnsi="Amasis MT Pro" w:cs="Times New Roman"/>
          <w:b/>
          <w:bCs/>
          <w:lang/>
        </w:rPr>
        <w:t>Results</w:t>
      </w:r>
    </w:p>
    <w:p w14:paraId="4682A314" w14:textId="77777777" w:rsidR="0080332F" w:rsidRPr="00A26917" w:rsidRDefault="0080332F" w:rsidP="0080332F">
      <w:pPr>
        <w:spacing w:before="100" w:beforeAutospacing="1" w:after="100" w:afterAutospacing="1" w:line="240" w:lineRule="auto"/>
        <w:rPr>
          <w:rFonts w:ascii="Amasis MT Pro" w:eastAsia="Times New Roman" w:hAnsi="Amasis MT Pro" w:cs="Times New Roman"/>
          <w:lang/>
        </w:rPr>
      </w:pPr>
      <w:r w:rsidRPr="00A26917">
        <w:rPr>
          <w:rFonts w:ascii="Amasis MT Pro" w:eastAsia="Times New Roman" w:hAnsi="Amasis MT Pro" w:cs="Times New Roman"/>
          <w:lang/>
        </w:rPr>
        <w:t xml:space="preserve">Coxitis was present in </w:t>
      </w:r>
      <w:r w:rsidRPr="00A26917">
        <w:rPr>
          <w:rFonts w:ascii="Amasis MT Pro" w:eastAsia="Times New Roman" w:hAnsi="Amasis MT Pro" w:cs="Times New Roman"/>
          <w:b/>
          <w:bCs/>
          <w:lang/>
        </w:rPr>
        <w:t>12%</w:t>
      </w:r>
      <w:r w:rsidRPr="00A26917">
        <w:rPr>
          <w:rFonts w:ascii="Amasis MT Pro" w:eastAsia="Times New Roman" w:hAnsi="Amasis MT Pro" w:cs="Times New Roman"/>
          <w:lang/>
        </w:rPr>
        <w:t xml:space="preserve"> of AS patients, with a </w:t>
      </w:r>
      <w:r w:rsidRPr="00A26917">
        <w:rPr>
          <w:rFonts w:ascii="Amasis MT Pro" w:eastAsia="Times New Roman" w:hAnsi="Amasis MT Pro" w:cs="Times New Roman"/>
          <w:b/>
          <w:bCs/>
          <w:lang/>
        </w:rPr>
        <w:t>female predominance (F/M ratio = 1.14)</w:t>
      </w:r>
      <w:r w:rsidRPr="00A26917">
        <w:rPr>
          <w:rFonts w:ascii="Amasis MT Pro" w:eastAsia="Times New Roman" w:hAnsi="Amasis MT Pro" w:cs="Times New Roman"/>
          <w:lang/>
        </w:rPr>
        <w:t xml:space="preserve">. The mean age at onset was </w:t>
      </w:r>
      <w:r w:rsidRPr="00A26917">
        <w:rPr>
          <w:rFonts w:ascii="Amasis MT Pro" w:eastAsia="Times New Roman" w:hAnsi="Amasis MT Pro" w:cs="Times New Roman"/>
          <w:b/>
          <w:bCs/>
          <w:lang/>
        </w:rPr>
        <w:t>35 years</w:t>
      </w:r>
      <w:r w:rsidRPr="00A26917">
        <w:rPr>
          <w:rFonts w:ascii="Amasis MT Pro" w:eastAsia="Times New Roman" w:hAnsi="Amasis MT Pro" w:cs="Times New Roman"/>
          <w:lang/>
        </w:rPr>
        <w:t xml:space="preserve">. It was </w:t>
      </w:r>
      <w:r w:rsidRPr="00A26917">
        <w:rPr>
          <w:rFonts w:ascii="Amasis MT Pro" w:eastAsia="Times New Roman" w:hAnsi="Amasis MT Pro" w:cs="Times New Roman"/>
          <w:b/>
          <w:bCs/>
          <w:lang/>
        </w:rPr>
        <w:t>inaugural in 38%</w:t>
      </w:r>
      <w:r w:rsidRPr="00A26917">
        <w:rPr>
          <w:rFonts w:ascii="Amasis MT Pro" w:eastAsia="Times New Roman" w:hAnsi="Amasis MT Pro" w:cs="Times New Roman"/>
          <w:lang/>
        </w:rPr>
        <w:t xml:space="preserve"> and developed later in </w:t>
      </w:r>
      <w:r w:rsidRPr="00A26917">
        <w:rPr>
          <w:rFonts w:ascii="Amasis MT Pro" w:eastAsia="Times New Roman" w:hAnsi="Amasis MT Pro" w:cs="Times New Roman"/>
          <w:b/>
          <w:bCs/>
          <w:lang/>
        </w:rPr>
        <w:t>62%</w:t>
      </w:r>
      <w:r w:rsidRPr="00A26917">
        <w:rPr>
          <w:rFonts w:ascii="Amasis MT Pro" w:eastAsia="Times New Roman" w:hAnsi="Amasis MT Pro" w:cs="Times New Roman"/>
          <w:lang/>
        </w:rPr>
        <w:t xml:space="preserve">, with a </w:t>
      </w:r>
      <w:r w:rsidRPr="00A26917">
        <w:rPr>
          <w:rFonts w:ascii="Amasis MT Pro" w:eastAsia="Times New Roman" w:hAnsi="Amasis MT Pro" w:cs="Times New Roman"/>
          <w:b/>
          <w:bCs/>
          <w:lang/>
        </w:rPr>
        <w:t>mean delay of 3 years</w:t>
      </w:r>
      <w:r w:rsidRPr="00A26917">
        <w:rPr>
          <w:rFonts w:ascii="Amasis MT Pro" w:eastAsia="Times New Roman" w:hAnsi="Amasis MT Pro" w:cs="Times New Roman"/>
          <w:lang/>
        </w:rPr>
        <w:t xml:space="preserve">. Coxitis was </w:t>
      </w:r>
      <w:r w:rsidRPr="00A26917">
        <w:rPr>
          <w:rFonts w:ascii="Amasis MT Pro" w:eastAsia="Times New Roman" w:hAnsi="Amasis MT Pro" w:cs="Times New Roman"/>
          <w:b/>
          <w:bCs/>
          <w:lang/>
        </w:rPr>
        <w:t>bilateral in 73%</w:t>
      </w:r>
      <w:r w:rsidRPr="00A26917">
        <w:rPr>
          <w:rFonts w:ascii="Amasis MT Pro" w:eastAsia="Times New Roman" w:hAnsi="Amasis MT Pro" w:cs="Times New Roman"/>
          <w:lang/>
        </w:rPr>
        <w:t xml:space="preserve"> and </w:t>
      </w:r>
      <w:r w:rsidRPr="00A26917">
        <w:rPr>
          <w:rFonts w:ascii="Amasis MT Pro" w:eastAsia="Times New Roman" w:hAnsi="Amasis MT Pro" w:cs="Times New Roman"/>
          <w:b/>
          <w:bCs/>
          <w:lang/>
        </w:rPr>
        <w:t>unilateral in 27%</w:t>
      </w:r>
      <w:r w:rsidRPr="00A26917">
        <w:rPr>
          <w:rFonts w:ascii="Amasis MT Pro" w:eastAsia="Times New Roman" w:hAnsi="Amasis MT Pro" w:cs="Times New Roman"/>
          <w:lang/>
        </w:rPr>
        <w:t xml:space="preserve">. </w:t>
      </w:r>
      <w:r w:rsidRPr="00A26917">
        <w:rPr>
          <w:rFonts w:ascii="Amasis MT Pro" w:eastAsia="Times New Roman" w:hAnsi="Amasis MT Pro" w:cs="Times New Roman"/>
          <w:b/>
          <w:bCs/>
          <w:lang/>
        </w:rPr>
        <w:t>Destructive forms (33.3%)</w:t>
      </w:r>
      <w:r w:rsidRPr="00A26917">
        <w:rPr>
          <w:rFonts w:ascii="Amasis MT Pro" w:eastAsia="Times New Roman" w:hAnsi="Amasis MT Pro" w:cs="Times New Roman"/>
          <w:lang/>
        </w:rPr>
        <w:t xml:space="preserve"> and </w:t>
      </w:r>
      <w:r w:rsidRPr="00A26917">
        <w:rPr>
          <w:rFonts w:ascii="Amasis MT Pro" w:eastAsia="Times New Roman" w:hAnsi="Amasis MT Pro" w:cs="Times New Roman"/>
          <w:b/>
          <w:bCs/>
          <w:lang/>
        </w:rPr>
        <w:t>pseudo-arthrosic forms (66.6%)</w:t>
      </w:r>
      <w:r w:rsidRPr="00A26917">
        <w:rPr>
          <w:rFonts w:ascii="Amasis MT Pro" w:eastAsia="Times New Roman" w:hAnsi="Amasis MT Pro" w:cs="Times New Roman"/>
          <w:lang/>
        </w:rPr>
        <w:t xml:space="preserve"> were observed. </w:t>
      </w:r>
      <w:r w:rsidRPr="00A26917">
        <w:rPr>
          <w:rFonts w:ascii="Amasis MT Pro" w:eastAsia="Times New Roman" w:hAnsi="Amasis MT Pro" w:cs="Times New Roman"/>
          <w:b/>
          <w:bCs/>
          <w:lang/>
        </w:rPr>
        <w:t>All patients had bilateral sacroiliitis</w:t>
      </w:r>
      <w:r w:rsidRPr="00A26917">
        <w:rPr>
          <w:rFonts w:ascii="Amasis MT Pro" w:eastAsia="Times New Roman" w:hAnsi="Amasis MT Pro" w:cs="Times New Roman"/>
          <w:lang/>
        </w:rPr>
        <w:t xml:space="preserve">. Associated conditions included </w:t>
      </w:r>
      <w:r w:rsidRPr="00A26917">
        <w:rPr>
          <w:rFonts w:ascii="Amasis MT Pro" w:eastAsia="Times New Roman" w:hAnsi="Amasis MT Pro" w:cs="Times New Roman"/>
          <w:b/>
          <w:bCs/>
          <w:lang/>
        </w:rPr>
        <w:t>Crohn’s disease (26.6%)</w:t>
      </w:r>
      <w:r w:rsidRPr="00A26917">
        <w:rPr>
          <w:rFonts w:ascii="Amasis MT Pro" w:eastAsia="Times New Roman" w:hAnsi="Amasis MT Pro" w:cs="Times New Roman"/>
          <w:lang/>
        </w:rPr>
        <w:t xml:space="preserve"> and </w:t>
      </w:r>
      <w:r w:rsidRPr="00A26917">
        <w:rPr>
          <w:rFonts w:ascii="Amasis MT Pro" w:eastAsia="Times New Roman" w:hAnsi="Amasis MT Pro" w:cs="Times New Roman"/>
          <w:b/>
          <w:bCs/>
          <w:lang/>
        </w:rPr>
        <w:t>uveitis (20%)</w:t>
      </w:r>
      <w:r w:rsidRPr="00A26917">
        <w:rPr>
          <w:rFonts w:ascii="Amasis MT Pro" w:eastAsia="Times New Roman" w:hAnsi="Amasis MT Pro" w:cs="Times New Roman"/>
          <w:lang/>
        </w:rPr>
        <w:t xml:space="preserve">. Treatment resulted in </w:t>
      </w:r>
      <w:r w:rsidRPr="00A26917">
        <w:rPr>
          <w:rFonts w:ascii="Amasis MT Pro" w:eastAsia="Times New Roman" w:hAnsi="Amasis MT Pro" w:cs="Times New Roman"/>
          <w:b/>
          <w:bCs/>
          <w:lang/>
        </w:rPr>
        <w:t>clinical improvement in 87%</w:t>
      </w:r>
      <w:r w:rsidRPr="00A26917">
        <w:rPr>
          <w:rFonts w:ascii="Amasis MT Pro" w:eastAsia="Times New Roman" w:hAnsi="Amasis MT Pro" w:cs="Times New Roman"/>
          <w:lang/>
        </w:rPr>
        <w:t xml:space="preserve"> of patients. </w:t>
      </w:r>
      <w:r w:rsidRPr="00A26917">
        <w:rPr>
          <w:rFonts w:ascii="Amasis MT Pro" w:eastAsia="Times New Roman" w:hAnsi="Amasis MT Pro" w:cs="Times New Roman"/>
          <w:b/>
          <w:bCs/>
          <w:lang/>
        </w:rPr>
        <w:t>Five patients</w:t>
      </w:r>
      <w:r w:rsidRPr="00A26917">
        <w:rPr>
          <w:rFonts w:ascii="Amasis MT Pro" w:eastAsia="Times New Roman" w:hAnsi="Amasis MT Pro" w:cs="Times New Roman"/>
          <w:lang/>
        </w:rPr>
        <w:t xml:space="preserve"> underwent </w:t>
      </w:r>
      <w:r w:rsidRPr="00A26917">
        <w:rPr>
          <w:rFonts w:ascii="Amasis MT Pro" w:eastAsia="Times New Roman" w:hAnsi="Amasis MT Pro" w:cs="Times New Roman"/>
          <w:b/>
          <w:bCs/>
          <w:lang/>
        </w:rPr>
        <w:t>total hip replacement</w:t>
      </w:r>
      <w:r w:rsidRPr="00A26917">
        <w:rPr>
          <w:rFonts w:ascii="Amasis MT Pro" w:eastAsia="Times New Roman" w:hAnsi="Amasis MT Pro" w:cs="Times New Roman"/>
          <w:lang/>
        </w:rPr>
        <w:t xml:space="preserve"> due to severe joint destruction.</w:t>
      </w:r>
    </w:p>
    <w:p w14:paraId="1CB708EA" w14:textId="77777777" w:rsidR="0080332F" w:rsidRPr="00A26917" w:rsidRDefault="0080332F" w:rsidP="0080332F">
      <w:pPr>
        <w:spacing w:before="100" w:beforeAutospacing="1" w:after="100" w:afterAutospacing="1" w:line="240" w:lineRule="auto"/>
        <w:outlineLvl w:val="2"/>
        <w:rPr>
          <w:rFonts w:ascii="Amasis MT Pro" w:eastAsia="Times New Roman" w:hAnsi="Amasis MT Pro" w:cs="Times New Roman"/>
          <w:b/>
          <w:bCs/>
          <w:lang/>
        </w:rPr>
      </w:pPr>
      <w:r w:rsidRPr="00A26917">
        <w:rPr>
          <w:rFonts w:ascii="Amasis MT Pro" w:eastAsia="Times New Roman" w:hAnsi="Amasis MT Pro" w:cs="Times New Roman"/>
          <w:b/>
          <w:bCs/>
          <w:lang/>
        </w:rPr>
        <w:t>Conclusion</w:t>
      </w:r>
    </w:p>
    <w:p w14:paraId="34DDB9E6" w14:textId="57424B58" w:rsidR="0080332F" w:rsidRPr="00A26917" w:rsidRDefault="00A26917" w:rsidP="0080332F">
      <w:pPr>
        <w:spacing w:before="100" w:beforeAutospacing="1" w:after="100" w:afterAutospacing="1" w:line="240" w:lineRule="auto"/>
        <w:rPr>
          <w:rFonts w:ascii="Amasis MT Pro" w:eastAsia="Times New Roman" w:hAnsi="Amasis MT Pro" w:cs="Times New Roman"/>
          <w:lang/>
        </w:rPr>
      </w:pPr>
      <w:r w:rsidRPr="003D2A3B">
        <w:rPr>
          <w:rFonts w:ascii="Amasis MT Pro" w:eastAsia="Calibri" w:hAnsi="Amasis MT Pro" w:cs="Times New Roman"/>
          <w:lang w:val="en-GB"/>
        </w:rPr>
        <w:drawing>
          <wp:anchor distT="0" distB="0" distL="114300" distR="114300" simplePos="0" relativeHeight="251661312" behindDoc="0" locked="0" layoutInCell="1" allowOverlap="1" wp14:anchorId="1770EA80" wp14:editId="77CC2CDF">
            <wp:simplePos x="0" y="0"/>
            <wp:positionH relativeFrom="margin">
              <wp:posOffset>76200</wp:posOffset>
            </wp:positionH>
            <wp:positionV relativeFrom="margin">
              <wp:posOffset>8505190</wp:posOffset>
            </wp:positionV>
            <wp:extent cx="5758180" cy="107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563" t="3454" r="1491" b="7316"/>
                    <a:stretch/>
                  </pic:blipFill>
                  <pic:spPr bwMode="auto">
                    <a:xfrm>
                      <a:off x="0" y="0"/>
                      <a:ext cx="5758180" cy="107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332F" w:rsidRPr="00A26917">
        <w:rPr>
          <w:rFonts w:ascii="Amasis MT Pro" w:eastAsia="Times New Roman" w:hAnsi="Amasis MT Pro" w:cs="Times New Roman"/>
          <w:lang/>
        </w:rPr>
        <w:t>Hip involvement in AS is a frequent and disabling manifestation requiring early diagnosis and treatment. TNF-</w:t>
      </w:r>
      <w:r w:rsidR="0080332F" w:rsidRPr="00A26917">
        <w:rPr>
          <w:rFonts w:ascii="Cambria" w:eastAsia="Times New Roman" w:hAnsi="Cambria" w:cs="Cambria"/>
          <w:lang/>
        </w:rPr>
        <w:t>α</w:t>
      </w:r>
      <w:r w:rsidR="0080332F" w:rsidRPr="00A26917">
        <w:rPr>
          <w:rFonts w:ascii="Amasis MT Pro" w:eastAsia="Times New Roman" w:hAnsi="Amasis MT Pro" w:cs="Times New Roman"/>
          <w:lang/>
        </w:rPr>
        <w:t xml:space="preserve"> inhibitors combined with immunosuppressive therapy effectively improve symptoms and delay disease progression. Regular screening for coxitis in AS patients is crucial for optimizing management and preventing disability. Further studies are needed to refine long-term treatment strategies.</w:t>
      </w:r>
    </w:p>
    <w:sectPr w:rsidR="0080332F" w:rsidRPr="00A26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F74"/>
    <w:multiLevelType w:val="multilevel"/>
    <w:tmpl w:val="ECB44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2F"/>
    <w:rsid w:val="0065182C"/>
    <w:rsid w:val="0080332F"/>
    <w:rsid w:val="00A12541"/>
    <w:rsid w:val="00A26917"/>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63A1"/>
  <w15:chartTrackingRefBased/>
  <w15:docId w15:val="{EB42A55B-8450-49C3-ADDA-A8AC9469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104379">
      <w:bodyDiv w:val="1"/>
      <w:marLeft w:val="0"/>
      <w:marRight w:val="0"/>
      <w:marTop w:val="0"/>
      <w:marBottom w:val="0"/>
      <w:divBdr>
        <w:top w:val="none" w:sz="0" w:space="0" w:color="auto"/>
        <w:left w:val="none" w:sz="0" w:space="0" w:color="auto"/>
        <w:bottom w:val="none" w:sz="0" w:space="0" w:color="auto"/>
        <w:right w:val="none" w:sz="0" w:space="0" w:color="auto"/>
      </w:divBdr>
    </w:div>
    <w:div w:id="1882740531">
      <w:bodyDiv w:val="1"/>
      <w:marLeft w:val="0"/>
      <w:marRight w:val="0"/>
      <w:marTop w:val="0"/>
      <w:marBottom w:val="0"/>
      <w:divBdr>
        <w:top w:val="none" w:sz="0" w:space="0" w:color="auto"/>
        <w:left w:val="none" w:sz="0" w:space="0" w:color="auto"/>
        <w:bottom w:val="none" w:sz="0" w:space="0" w:color="auto"/>
        <w:right w:val="none" w:sz="0" w:space="0" w:color="auto"/>
      </w:divBdr>
      <w:divsChild>
        <w:div w:id="209658829">
          <w:marLeft w:val="0"/>
          <w:marRight w:val="0"/>
          <w:marTop w:val="0"/>
          <w:marBottom w:val="0"/>
          <w:divBdr>
            <w:top w:val="none" w:sz="0" w:space="0" w:color="auto"/>
            <w:left w:val="none" w:sz="0" w:space="0" w:color="auto"/>
            <w:bottom w:val="none" w:sz="0" w:space="0" w:color="auto"/>
            <w:right w:val="none" w:sz="0" w:space="0" w:color="auto"/>
          </w:divBdr>
          <w:divsChild>
            <w:div w:id="225725095">
              <w:marLeft w:val="0"/>
              <w:marRight w:val="0"/>
              <w:marTop w:val="0"/>
              <w:marBottom w:val="0"/>
              <w:divBdr>
                <w:top w:val="none" w:sz="0" w:space="0" w:color="auto"/>
                <w:left w:val="none" w:sz="0" w:space="0" w:color="auto"/>
                <w:bottom w:val="none" w:sz="0" w:space="0" w:color="auto"/>
                <w:right w:val="none" w:sz="0" w:space="0" w:color="auto"/>
              </w:divBdr>
              <w:divsChild>
                <w:div w:id="595286886">
                  <w:marLeft w:val="0"/>
                  <w:marRight w:val="0"/>
                  <w:marTop w:val="0"/>
                  <w:marBottom w:val="0"/>
                  <w:divBdr>
                    <w:top w:val="none" w:sz="0" w:space="0" w:color="auto"/>
                    <w:left w:val="none" w:sz="0" w:space="0" w:color="auto"/>
                    <w:bottom w:val="none" w:sz="0" w:space="0" w:color="auto"/>
                    <w:right w:val="none" w:sz="0" w:space="0" w:color="auto"/>
                  </w:divBdr>
                  <w:divsChild>
                    <w:div w:id="17996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1653">
          <w:marLeft w:val="0"/>
          <w:marRight w:val="0"/>
          <w:marTop w:val="0"/>
          <w:marBottom w:val="0"/>
          <w:divBdr>
            <w:top w:val="none" w:sz="0" w:space="0" w:color="auto"/>
            <w:left w:val="none" w:sz="0" w:space="0" w:color="auto"/>
            <w:bottom w:val="none" w:sz="0" w:space="0" w:color="auto"/>
            <w:right w:val="none" w:sz="0" w:space="0" w:color="auto"/>
          </w:divBdr>
          <w:divsChild>
            <w:div w:id="1738430450">
              <w:marLeft w:val="0"/>
              <w:marRight w:val="0"/>
              <w:marTop w:val="0"/>
              <w:marBottom w:val="0"/>
              <w:divBdr>
                <w:top w:val="none" w:sz="0" w:space="0" w:color="auto"/>
                <w:left w:val="none" w:sz="0" w:space="0" w:color="auto"/>
                <w:bottom w:val="none" w:sz="0" w:space="0" w:color="auto"/>
                <w:right w:val="none" w:sz="0" w:space="0" w:color="auto"/>
              </w:divBdr>
              <w:divsChild>
                <w:div w:id="339545652">
                  <w:marLeft w:val="0"/>
                  <w:marRight w:val="0"/>
                  <w:marTop w:val="0"/>
                  <w:marBottom w:val="0"/>
                  <w:divBdr>
                    <w:top w:val="none" w:sz="0" w:space="0" w:color="auto"/>
                    <w:left w:val="none" w:sz="0" w:space="0" w:color="auto"/>
                    <w:bottom w:val="none" w:sz="0" w:space="0" w:color="auto"/>
                    <w:right w:val="none" w:sz="0" w:space="0" w:color="auto"/>
                  </w:divBdr>
                  <w:divsChild>
                    <w:div w:id="344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 KH</dc:creator>
  <cp:keywords/>
  <dc:description/>
  <cp:lastModifiedBy>Yara Abi Ghanem</cp:lastModifiedBy>
  <cp:revision>2</cp:revision>
  <dcterms:created xsi:type="dcterms:W3CDTF">2025-04-18T07:33:00Z</dcterms:created>
  <dcterms:modified xsi:type="dcterms:W3CDTF">2025-04-18T07:33:00Z</dcterms:modified>
</cp:coreProperties>
</file>