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F771D" w14:textId="53F03A42" w:rsidR="00124468" w:rsidRDefault="00124468" w:rsidP="00C93E2E">
      <w:pPr>
        <w:rPr>
          <w:b/>
          <w:bCs/>
          <w:lang w:val="en-US"/>
        </w:rPr>
      </w:pPr>
      <w:r>
        <w:rPr>
          <w:rFonts w:ascii="Amasis MT Pro" w:eastAsia="Calibri" w:hAnsi="Amasis MT Pro" w:cs="Times New Roman"/>
          <w:b/>
          <w:bCs/>
          <w:noProof/>
          <w:lang w:val="en-GB"/>
        </w:rPr>
        <w:drawing>
          <wp:anchor distT="0" distB="0" distL="114300" distR="114300" simplePos="0" relativeHeight="251659264" behindDoc="0" locked="0" layoutInCell="1" allowOverlap="1" wp14:anchorId="41F7C686" wp14:editId="2ACAF7DB">
            <wp:simplePos x="0" y="0"/>
            <wp:positionH relativeFrom="margin">
              <wp:align>left</wp:align>
            </wp:positionH>
            <wp:positionV relativeFrom="margin">
              <wp:posOffset>-396240</wp:posOffset>
            </wp:positionV>
            <wp:extent cx="5894705" cy="752475"/>
            <wp:effectExtent l="0" t="0" r="0" b="952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470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AE59322" w14:textId="4E0393F2" w:rsidR="00124468" w:rsidRPr="00124468" w:rsidRDefault="00124468" w:rsidP="00C93E2E">
      <w:pPr>
        <w:rPr>
          <w:rFonts w:ascii="Amasis MT Pro" w:hAnsi="Amasis MT Pro"/>
          <w:b/>
          <w:bCs/>
          <w:lang w:val="en-US"/>
        </w:rPr>
      </w:pPr>
      <w:r w:rsidRPr="00124468">
        <w:rPr>
          <w:rFonts w:ascii="Amasis MT Pro" w:hAnsi="Amasis MT Pro"/>
          <w:b/>
          <w:bCs/>
          <w:lang w:val="en-US"/>
        </w:rPr>
        <w:t>6479</w:t>
      </w:r>
    </w:p>
    <w:p w14:paraId="4BFED72B" w14:textId="3D34BA8D" w:rsidR="00C93E2E" w:rsidRPr="00124468" w:rsidRDefault="00C93E2E" w:rsidP="00C93E2E">
      <w:pPr>
        <w:rPr>
          <w:rFonts w:ascii="Amasis MT Pro" w:hAnsi="Amasis MT Pro"/>
          <w:b/>
          <w:bCs/>
          <w:lang w:val="en-US"/>
        </w:rPr>
      </w:pPr>
      <w:r w:rsidRPr="00124468">
        <w:rPr>
          <w:rFonts w:ascii="Amasis MT Pro" w:hAnsi="Amasis MT Pro"/>
          <w:b/>
          <w:bCs/>
          <w:lang w:val="en-US"/>
        </w:rPr>
        <w:t>Abstract</w:t>
      </w:r>
    </w:p>
    <w:p w14:paraId="0A9179DF" w14:textId="77777777" w:rsidR="00C93E2E" w:rsidRPr="00124468" w:rsidRDefault="00C93E2E" w:rsidP="00C93E2E">
      <w:pPr>
        <w:rPr>
          <w:rFonts w:ascii="Amasis MT Pro" w:hAnsi="Amasis MT Pro"/>
          <w:lang w:val="en-US"/>
        </w:rPr>
      </w:pPr>
      <w:r w:rsidRPr="00124468">
        <w:rPr>
          <w:rFonts w:ascii="Amasis MT Pro" w:hAnsi="Amasis MT Pro"/>
          <w:b/>
          <w:bCs/>
          <w:lang w:val="en-US"/>
        </w:rPr>
        <w:t>Introduction</w:t>
      </w:r>
      <w:r w:rsidRPr="00124468">
        <w:rPr>
          <w:rFonts w:ascii="Amasis MT Pro" w:hAnsi="Amasis MT Pro"/>
          <w:lang w:val="en-US"/>
        </w:rPr>
        <w:br/>
        <w:t>Osteoarticular infections (OAI) are a major concern in rheumatology due to their functional impact and the diversity of pathogens involved. Early diagnosis and appropriate management are crucial to limiting complications.</w:t>
      </w:r>
    </w:p>
    <w:p w14:paraId="09FD0D0C" w14:textId="77777777" w:rsidR="00C93E2E" w:rsidRPr="00124468" w:rsidRDefault="00C93E2E" w:rsidP="00C93E2E">
      <w:pPr>
        <w:rPr>
          <w:rFonts w:ascii="Amasis MT Pro" w:hAnsi="Amasis MT Pro"/>
          <w:lang w:val="en-US"/>
        </w:rPr>
      </w:pPr>
      <w:r w:rsidRPr="00124468">
        <w:rPr>
          <w:rFonts w:ascii="Amasis MT Pro" w:hAnsi="Amasis MT Pro"/>
          <w:b/>
          <w:bCs/>
          <w:lang w:val="en-US"/>
        </w:rPr>
        <w:t>Objective</w:t>
      </w:r>
      <w:r w:rsidRPr="00124468">
        <w:rPr>
          <w:rFonts w:ascii="Amasis MT Pro" w:hAnsi="Amasis MT Pro"/>
          <w:lang w:val="en-US"/>
        </w:rPr>
        <w:br/>
        <w:t>To evaluate the epidemiological, clinical, biological, and etiological profile of OAI managed in a rheumatology department over 10 years.</w:t>
      </w:r>
    </w:p>
    <w:p w14:paraId="4BEA3F34" w14:textId="77777777" w:rsidR="00C93E2E" w:rsidRPr="00124468" w:rsidRDefault="00C93E2E" w:rsidP="00C93E2E">
      <w:pPr>
        <w:rPr>
          <w:rFonts w:ascii="Amasis MT Pro" w:hAnsi="Amasis MT Pro"/>
          <w:lang w:val="en-US"/>
        </w:rPr>
      </w:pPr>
      <w:r w:rsidRPr="00124468">
        <w:rPr>
          <w:rFonts w:ascii="Amasis MT Pro" w:hAnsi="Amasis MT Pro"/>
          <w:b/>
          <w:bCs/>
          <w:lang w:val="en-US"/>
        </w:rPr>
        <w:t>Method</w:t>
      </w:r>
      <w:r w:rsidRPr="00124468">
        <w:rPr>
          <w:rFonts w:ascii="Amasis MT Pro" w:hAnsi="Amasis MT Pro"/>
          <w:lang w:val="en-US"/>
        </w:rPr>
        <w:br/>
        <w:t>This retrospective study analyzed medical records of patients hospitalized for OAI between 2014 and 2024 in a rheumatology department. Data collected included demographic characteristics, medical history, clinical signs, biological and microbiological findings, and treatment outcomes.</w:t>
      </w:r>
    </w:p>
    <w:p w14:paraId="7487906B" w14:textId="77777777" w:rsidR="00C93E2E" w:rsidRPr="00124468" w:rsidRDefault="00C93E2E" w:rsidP="00C93E2E">
      <w:pPr>
        <w:rPr>
          <w:rFonts w:ascii="Amasis MT Pro" w:hAnsi="Amasis MT Pro"/>
          <w:lang w:val="en-US"/>
        </w:rPr>
      </w:pPr>
      <w:r w:rsidRPr="00124468">
        <w:rPr>
          <w:rFonts w:ascii="Amasis MT Pro" w:hAnsi="Amasis MT Pro"/>
          <w:b/>
          <w:bCs/>
          <w:lang w:val="en-US"/>
        </w:rPr>
        <w:t>Results</w:t>
      </w:r>
      <w:r w:rsidRPr="00124468">
        <w:rPr>
          <w:rFonts w:ascii="Amasis MT Pro" w:hAnsi="Amasis MT Pro"/>
          <w:lang w:val="en-US"/>
        </w:rPr>
        <w:br/>
        <w:t>A total of 120 patients from various regions were included, with a mean age of 48.28 ± 19.2 years and a female predominance (56.3%). The main risk factors identified were diabetes (16.7%), rheumatic diseases (4.2%), and immunosuppression (7.5%). Tuberculosis exposure was reported in 10.4% of cases, while 16.7% had brucellosis exposure.</w:t>
      </w:r>
    </w:p>
    <w:p w14:paraId="0FBC539B" w14:textId="77777777" w:rsidR="00C93E2E" w:rsidRPr="00124468" w:rsidRDefault="00C93E2E" w:rsidP="00C93E2E">
      <w:pPr>
        <w:rPr>
          <w:rFonts w:ascii="Amasis MT Pro" w:hAnsi="Amasis MT Pro"/>
          <w:lang w:val="en-US"/>
        </w:rPr>
      </w:pPr>
      <w:r w:rsidRPr="00124468">
        <w:rPr>
          <w:rFonts w:ascii="Amasis MT Pro" w:hAnsi="Amasis MT Pro"/>
          <w:lang w:val="en-US"/>
        </w:rPr>
        <w:t>Tuberculous OAI accounted for 67.5% of cases, while common bacterial infections represented 29.16% and brucellar infections 3.3%. The most frequent locations were spondylodiscitis (53.8%), septic arthritis (30%), and osteomyelitis (1.7%). Fever was present in 65.8% of cases, and neurological symptoms in 27.7% of spondylodiscitis cases. The average diagnostic delay was 181 days for spondylodiscitis and 158 days for septic arthritis.</w:t>
      </w:r>
    </w:p>
    <w:p w14:paraId="46E0292A" w14:textId="77777777" w:rsidR="00C93E2E" w:rsidRPr="00124468" w:rsidRDefault="00C93E2E" w:rsidP="00C93E2E">
      <w:pPr>
        <w:rPr>
          <w:rFonts w:ascii="Amasis MT Pro" w:hAnsi="Amasis MT Pro"/>
          <w:lang w:val="en-US"/>
        </w:rPr>
      </w:pPr>
      <w:r w:rsidRPr="00124468">
        <w:rPr>
          <w:rFonts w:ascii="Amasis MT Pro" w:hAnsi="Amasis MT Pro"/>
          <w:lang w:val="en-US"/>
        </w:rPr>
        <w:t>Elevated CRP was observed in 83.3% of cases, and leukocytosis in 48.57% of bacterial infections. A positive tuberculin skin test was noted in 30.86% of patients. Diagnosis was confirmed in only 43.3% of cases, including 14.2% by joint culture and 24.2% by biopsy. Before treatment initiation, 24.17% of patients had developed local complications. Nevertheless, appropriate antibiotic therapy resulted in favorable outcomes in 99.07% of cases.</w:t>
      </w:r>
    </w:p>
    <w:p w14:paraId="20981184" w14:textId="77777777" w:rsidR="00C93E2E" w:rsidRPr="00124468" w:rsidRDefault="00C93E2E" w:rsidP="00C93E2E">
      <w:pPr>
        <w:rPr>
          <w:rFonts w:ascii="Amasis MT Pro" w:hAnsi="Amasis MT Pro"/>
          <w:lang w:val="en-US"/>
        </w:rPr>
      </w:pPr>
      <w:r w:rsidRPr="00124468">
        <w:rPr>
          <w:rFonts w:ascii="Amasis MT Pro" w:hAnsi="Amasis MT Pro"/>
          <w:b/>
          <w:bCs/>
          <w:lang w:val="en-US"/>
        </w:rPr>
        <w:t>Conclusion</w:t>
      </w:r>
      <w:r w:rsidRPr="00124468">
        <w:rPr>
          <w:rFonts w:ascii="Amasis MT Pro" w:hAnsi="Amasis MT Pro"/>
          <w:lang w:val="en-US"/>
        </w:rPr>
        <w:br/>
        <w:t xml:space="preserve">OAI, particularly tuberculous and spondylodiscitic forms, remain frequent and pose a significant diagnostic challenge due to their </w:t>
      </w:r>
      <w:proofErr w:type="gramStart"/>
      <w:r w:rsidRPr="00124468">
        <w:rPr>
          <w:rFonts w:ascii="Amasis MT Pro" w:hAnsi="Amasis MT Pro"/>
          <w:lang w:val="en-US"/>
        </w:rPr>
        <w:t>often insidious</w:t>
      </w:r>
      <w:proofErr w:type="gramEnd"/>
      <w:r w:rsidRPr="00124468">
        <w:rPr>
          <w:rFonts w:ascii="Amasis MT Pro" w:hAnsi="Amasis MT Pro"/>
          <w:lang w:val="en-US"/>
        </w:rPr>
        <w:t xml:space="preserve"> presentation and delayed diagnosis. The low sensitivity of microbiological tests further complicates pathogen identification, often requiring a combined approach, including bone biopsy. Greater awareness of risk factors and clinical signs, along with improved diagnostic tools, is essential to enhance patient management and reduce complications</w:t>
      </w:r>
    </w:p>
    <w:p w14:paraId="11D36870" w14:textId="2B24D9FC" w:rsidR="00A91023" w:rsidRPr="00124468" w:rsidRDefault="00124468">
      <w:pPr>
        <w:rPr>
          <w:rFonts w:ascii="Amasis MT Pro" w:hAnsi="Amasis MT Pro"/>
          <w:lang w:val="en-US"/>
        </w:rPr>
      </w:pPr>
      <w:r w:rsidRPr="003D2A3B">
        <w:rPr>
          <w:rFonts w:ascii="Amasis MT Pro" w:eastAsia="Calibri" w:hAnsi="Amasis MT Pro" w:cs="Times New Roman"/>
          <w:lang w:val="en-GB"/>
        </w:rPr>
        <w:drawing>
          <wp:anchor distT="0" distB="0" distL="114300" distR="114300" simplePos="0" relativeHeight="251661312" behindDoc="0" locked="0" layoutInCell="1" allowOverlap="1" wp14:anchorId="3FCB631A" wp14:editId="78A5AC04">
            <wp:simplePos x="0" y="0"/>
            <wp:positionH relativeFrom="margin">
              <wp:posOffset>0</wp:posOffset>
            </wp:positionH>
            <wp:positionV relativeFrom="margin">
              <wp:posOffset>8179435</wp:posOffset>
            </wp:positionV>
            <wp:extent cx="5758180" cy="10731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3" t="3454" r="1491" b="7316"/>
                    <a:stretch/>
                  </pic:blipFill>
                  <pic:spPr bwMode="auto">
                    <a:xfrm>
                      <a:off x="0" y="0"/>
                      <a:ext cx="5758180" cy="1073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91023" w:rsidRPr="001244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E2E"/>
    <w:rsid w:val="00124468"/>
    <w:rsid w:val="002C4FE4"/>
    <w:rsid w:val="00A91023"/>
    <w:rsid w:val="00B44D40"/>
    <w:rsid w:val="00C9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48A14"/>
  <w15:chartTrackingRefBased/>
  <w15:docId w15:val="{2894E6D1-CAFE-49A6-AFCB-7B9BCBEB5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3E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3E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3E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3E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3E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3E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3E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3E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3E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3E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3E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3E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3E2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3E2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3E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3E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3E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3E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3E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3E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3E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3E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3E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3E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3E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3E2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3E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3E2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3E2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13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8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82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80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53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1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02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21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74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7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92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0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08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80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7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2062</Characters>
  <Application>Microsoft Office Word</Application>
  <DocSecurity>0</DocSecurity>
  <Lines>17</Lines>
  <Paragraphs>4</Paragraphs>
  <ScaleCrop>false</ScaleCrop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hanine abdeddaim</dc:creator>
  <cp:keywords/>
  <dc:description/>
  <cp:lastModifiedBy>Yara Abi Ghanem</cp:lastModifiedBy>
  <cp:revision>2</cp:revision>
  <dcterms:created xsi:type="dcterms:W3CDTF">2025-04-18T06:25:00Z</dcterms:created>
  <dcterms:modified xsi:type="dcterms:W3CDTF">2025-04-18T06:25:00Z</dcterms:modified>
</cp:coreProperties>
</file>