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7D40" w14:textId="7A155FBA" w:rsidR="00792857" w:rsidRDefault="00792857">
      <w:pPr>
        <w:rPr>
          <w:rFonts w:ascii="Amasis MT Pro" w:hAnsi="Amasis MT Pro"/>
        </w:rPr>
      </w:pPr>
      <w:r>
        <w:rPr>
          <w:rFonts w:ascii="Amasis MT Pro" w:eastAsia="Calibri" w:hAnsi="Amasis MT Pro" w:cs="Times New Roman"/>
          <w:b/>
          <w:bCs/>
          <w:noProof/>
          <w:lang w:val="en-GB"/>
        </w:rPr>
        <w:drawing>
          <wp:anchor distT="0" distB="0" distL="114300" distR="114300" simplePos="0" relativeHeight="251659264" behindDoc="0" locked="0" layoutInCell="1" allowOverlap="1" wp14:anchorId="21066699" wp14:editId="0BBEDFF2">
            <wp:simplePos x="0" y="0"/>
            <wp:positionH relativeFrom="margin">
              <wp:align>left</wp:align>
            </wp:positionH>
            <wp:positionV relativeFrom="margin">
              <wp:posOffset>-266700</wp:posOffset>
            </wp:positionV>
            <wp:extent cx="5894705" cy="7524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5894705" cy="752475"/>
                    </a:xfrm>
                    <a:prstGeom prst="rect">
                      <a:avLst/>
                    </a:prstGeom>
                  </pic:spPr>
                </pic:pic>
              </a:graphicData>
            </a:graphic>
            <wp14:sizeRelH relativeFrom="margin">
              <wp14:pctWidth>0</wp14:pctWidth>
            </wp14:sizeRelH>
          </wp:anchor>
        </w:drawing>
      </w:r>
    </w:p>
    <w:p w14:paraId="0A6954CF" w14:textId="77777777" w:rsidR="00792857" w:rsidRDefault="00792857">
      <w:pPr>
        <w:rPr>
          <w:rFonts w:ascii="Amasis MT Pro" w:hAnsi="Amasis MT Pro"/>
        </w:rPr>
      </w:pPr>
    </w:p>
    <w:p w14:paraId="5140B4FC" w14:textId="0D22C842" w:rsidR="00DA6A57" w:rsidRPr="002332F7" w:rsidRDefault="00792857">
      <w:pPr>
        <w:rPr>
          <w:rFonts w:ascii="Amasis MT Pro" w:hAnsi="Amasis MT Pro"/>
          <w:b/>
          <w:bCs/>
        </w:rPr>
      </w:pPr>
      <w:r w:rsidRPr="002332F7">
        <w:rPr>
          <w:rFonts w:ascii="Amasis MT Pro" w:hAnsi="Amasis MT Pro"/>
          <w:b/>
          <w:bCs/>
        </w:rPr>
        <w:t>6247</w:t>
      </w:r>
    </w:p>
    <w:p w14:paraId="78FFFDCE" w14:textId="0FB8CB30" w:rsidR="00792857" w:rsidRPr="00792857" w:rsidRDefault="00792857">
      <w:pPr>
        <w:rPr>
          <w:rFonts w:ascii="Amasis MT Pro" w:hAnsi="Amasis MT Pro"/>
        </w:rPr>
      </w:pPr>
    </w:p>
    <w:p w14:paraId="3F57B3F3" w14:textId="66786352" w:rsidR="00792857" w:rsidRPr="00792857" w:rsidRDefault="00792857">
      <w:pPr>
        <w:rPr>
          <w:rFonts w:ascii="Amasis MT Pro" w:hAnsi="Amasis MT Pro"/>
        </w:rPr>
      </w:pPr>
      <w:r w:rsidRPr="00792857">
        <w:rPr>
          <w:rFonts w:ascii="Amasis MT Pro" w:hAnsi="Amasis MT Pro"/>
        </w:rPr>
        <w:t>Introduction</w:t>
      </w:r>
      <w:r w:rsidRPr="00792857">
        <w:rPr>
          <w:rFonts w:ascii="Amasis MT Pro" w:hAnsi="Amasis MT Pro"/>
        </w:rPr>
        <w:t>:</w:t>
      </w:r>
    </w:p>
    <w:p w14:paraId="33873BAC" w14:textId="0D80F844" w:rsidR="00792857" w:rsidRPr="00792857" w:rsidRDefault="00792857">
      <w:pPr>
        <w:rPr>
          <w:rFonts w:ascii="Amasis MT Pro" w:hAnsi="Amasis MT Pro"/>
        </w:rPr>
      </w:pPr>
      <w:r w:rsidRPr="00792857">
        <w:rPr>
          <w:rFonts w:ascii="Amasis MT Pro" w:hAnsi="Amasis MT Pro"/>
        </w:rPr>
        <w:t>Juvenile idiopathic arthritis (JIA) includes entities which have in common the presence of arthritis, onset before the age of 16, a progressive duration of more than 6 weeks and the absence of an identified cause. The aim of our work is to identify clinical aspects, the biological and radiological profile and the therapeutic management methods.</w:t>
      </w:r>
    </w:p>
    <w:p w14:paraId="27C0FEBA" w14:textId="3D84B27B" w:rsidR="00792857" w:rsidRPr="00792857" w:rsidRDefault="00792857">
      <w:pPr>
        <w:rPr>
          <w:rFonts w:ascii="Amasis MT Pro" w:hAnsi="Amasis MT Pro"/>
        </w:rPr>
      </w:pPr>
      <w:r w:rsidRPr="00792857">
        <w:rPr>
          <w:rFonts w:ascii="Amasis MT Pro" w:hAnsi="Amasis MT Pro"/>
        </w:rPr>
        <w:t>Patients and methods:</w:t>
      </w:r>
    </w:p>
    <w:p w14:paraId="26BFEF4D" w14:textId="28E2EFA4" w:rsidR="00792857" w:rsidRPr="00792857" w:rsidRDefault="00792857">
      <w:pPr>
        <w:rPr>
          <w:rFonts w:ascii="Amasis MT Pro" w:hAnsi="Amasis MT Pro"/>
        </w:rPr>
      </w:pPr>
      <w:r w:rsidRPr="00792857">
        <w:rPr>
          <w:rFonts w:ascii="Amasis MT Pro" w:hAnsi="Amasis MT Pro"/>
        </w:rPr>
        <w:t xml:space="preserve">Retrospective descriptive study of JIA in its various forms hospitalized between May 2011 and December 2024. Patients classified according to International League of Association for Rheumatology (ILAR) criteria were included. Demographic, </w:t>
      </w:r>
      <w:proofErr w:type="spellStart"/>
      <w:r w:rsidRPr="00792857">
        <w:rPr>
          <w:rFonts w:ascii="Amasis MT Pro" w:hAnsi="Amasis MT Pro"/>
        </w:rPr>
        <w:t>clinico</w:t>
      </w:r>
      <w:proofErr w:type="spellEnd"/>
      <w:r w:rsidRPr="00792857">
        <w:rPr>
          <w:rFonts w:ascii="Amasis MT Pro" w:hAnsi="Amasis MT Pro"/>
        </w:rPr>
        <w:t>-biological, radiological and therapeutic data were collected.</w:t>
      </w:r>
    </w:p>
    <w:p w14:paraId="25103DF2" w14:textId="306F90CC" w:rsidR="00792857" w:rsidRPr="00792857" w:rsidRDefault="00792857">
      <w:pPr>
        <w:rPr>
          <w:rFonts w:ascii="Amasis MT Pro" w:hAnsi="Amasis MT Pro"/>
        </w:rPr>
      </w:pPr>
      <w:r w:rsidRPr="00792857">
        <w:rPr>
          <w:rFonts w:ascii="Amasis MT Pro" w:hAnsi="Amasis MT Pro"/>
        </w:rPr>
        <w:t>Results:</w:t>
      </w:r>
    </w:p>
    <w:p w14:paraId="4312A3F9" w14:textId="3F101125" w:rsidR="00792857" w:rsidRPr="00792857" w:rsidRDefault="00792857">
      <w:pPr>
        <w:rPr>
          <w:rFonts w:ascii="Amasis MT Pro" w:hAnsi="Amasis MT Pro"/>
        </w:rPr>
      </w:pPr>
      <w:r w:rsidRPr="00792857">
        <w:rPr>
          <w:rFonts w:ascii="Amasis MT Pro" w:hAnsi="Amasis MT Pro"/>
        </w:rPr>
        <w:t xml:space="preserve">24 patients were included with JIA, including 12 girls; the diagnostic delay was 2.34 years; the different clinical forms were: 11 cases of FR-negative polyarthritis, 4 cases of psoriatic arthritis, 4 cases of </w:t>
      </w:r>
      <w:proofErr w:type="spellStart"/>
      <w:r w:rsidRPr="00792857">
        <w:rPr>
          <w:rFonts w:ascii="Amasis MT Pro" w:hAnsi="Amasis MT Pro"/>
        </w:rPr>
        <w:t>enthesitis</w:t>
      </w:r>
      <w:proofErr w:type="spellEnd"/>
      <w:r w:rsidRPr="00792857">
        <w:rPr>
          <w:rFonts w:ascii="Amasis MT Pro" w:hAnsi="Amasis MT Pro"/>
        </w:rPr>
        <w:t xml:space="preserve">-related arthritis, 2 cases of </w:t>
      </w:r>
      <w:proofErr w:type="spellStart"/>
      <w:r w:rsidRPr="00792857">
        <w:rPr>
          <w:rFonts w:ascii="Amasis MT Pro" w:hAnsi="Amasis MT Pro"/>
        </w:rPr>
        <w:t>oligoarthritis</w:t>
      </w:r>
      <w:proofErr w:type="spellEnd"/>
      <w:r w:rsidRPr="00792857">
        <w:rPr>
          <w:rFonts w:ascii="Amasis MT Pro" w:hAnsi="Amasis MT Pro"/>
        </w:rPr>
        <w:t xml:space="preserve">, one case had FR positive polyarthritis, one case a form of systemic arthritis and one case of undifferentiated arthritis. Pulmonary involvement was noted in one patient with FR-positive polyarthritis. HLA B27 was positive in 4 cases, ACPA in one case and antinuclear antibodies were positive in one case. 17 patients developed osteoarticular destruction (70%), including 14 with </w:t>
      </w:r>
      <w:proofErr w:type="spellStart"/>
      <w:r w:rsidRPr="00792857">
        <w:rPr>
          <w:rFonts w:ascii="Amasis MT Pro" w:hAnsi="Amasis MT Pro"/>
        </w:rPr>
        <w:t>coxitis</w:t>
      </w:r>
      <w:proofErr w:type="spellEnd"/>
      <w:r w:rsidRPr="00792857">
        <w:rPr>
          <w:rFonts w:ascii="Amasis MT Pro" w:hAnsi="Amasis MT Pro"/>
        </w:rPr>
        <w:t xml:space="preserve"> (58%).</w:t>
      </w:r>
    </w:p>
    <w:p w14:paraId="666EA190" w14:textId="3AD1E503" w:rsidR="00792857" w:rsidRPr="00792857" w:rsidRDefault="00792857">
      <w:pPr>
        <w:rPr>
          <w:rFonts w:ascii="Amasis MT Pro" w:hAnsi="Amasis MT Pro"/>
        </w:rPr>
      </w:pPr>
      <w:r w:rsidRPr="00792857">
        <w:rPr>
          <w:rFonts w:ascii="Amasis MT Pro" w:hAnsi="Amasis MT Pro"/>
        </w:rPr>
        <w:t xml:space="preserve">78 </w:t>
      </w:r>
      <w:r w:rsidRPr="00792857">
        <w:rPr>
          <w:rFonts w:ascii="Times New Roman" w:hAnsi="Times New Roman" w:cs="Times New Roman"/>
        </w:rPr>
        <w:t>℅</w:t>
      </w:r>
      <w:r w:rsidRPr="00792857">
        <w:rPr>
          <w:rFonts w:ascii="Amasis MT Pro" w:hAnsi="Amasis MT Pro"/>
        </w:rPr>
        <w:t xml:space="preserve"> w</w:t>
      </w:r>
      <w:r w:rsidRPr="00792857">
        <w:rPr>
          <w:rFonts w:ascii="Amasis MT Pro" w:hAnsi="Amasis MT Pro"/>
        </w:rPr>
        <w:t>e</w:t>
      </w:r>
      <w:r w:rsidRPr="00792857">
        <w:rPr>
          <w:rFonts w:ascii="Amasis MT Pro" w:hAnsi="Amasis MT Pro"/>
        </w:rPr>
        <w:t>re put on biotherapy, Anti TNF in 70</w:t>
      </w:r>
      <w:r w:rsidRPr="00792857">
        <w:rPr>
          <w:rFonts w:ascii="Times New Roman" w:hAnsi="Times New Roman" w:cs="Times New Roman"/>
        </w:rPr>
        <w:t>℅</w:t>
      </w:r>
      <w:r w:rsidRPr="00792857">
        <w:rPr>
          <w:rFonts w:ascii="Amasis MT Pro" w:hAnsi="Amasis MT Pro"/>
        </w:rPr>
        <w:t xml:space="preserve"> of cases of which Etanercept was the most frequently used in 58.33 </w:t>
      </w:r>
      <w:r w:rsidRPr="00792857">
        <w:rPr>
          <w:rFonts w:ascii="Times New Roman" w:hAnsi="Times New Roman" w:cs="Times New Roman"/>
        </w:rPr>
        <w:t>℅</w:t>
      </w:r>
      <w:r w:rsidRPr="00792857">
        <w:rPr>
          <w:rFonts w:ascii="Amasis MT Pro" w:hAnsi="Amasis MT Pro"/>
        </w:rPr>
        <w:t xml:space="preserve">, Adalimumab in 29.1 </w:t>
      </w:r>
      <w:r w:rsidRPr="00792857">
        <w:rPr>
          <w:rFonts w:ascii="Times New Roman" w:hAnsi="Times New Roman" w:cs="Times New Roman"/>
        </w:rPr>
        <w:t>℅</w:t>
      </w:r>
      <w:r w:rsidRPr="00792857">
        <w:rPr>
          <w:rFonts w:ascii="Amasis MT Pro" w:hAnsi="Amasis MT Pro"/>
        </w:rPr>
        <w:t>. Anti-IL-6 was indicated in 4 patients and Anti CD 20 in one patient. Corticosteroid therapy was prescribed in 80</w:t>
      </w:r>
      <w:r w:rsidRPr="00792857">
        <w:rPr>
          <w:rFonts w:ascii="Times New Roman" w:hAnsi="Times New Roman" w:cs="Times New Roman"/>
        </w:rPr>
        <w:t>℅</w:t>
      </w:r>
      <w:r w:rsidRPr="00792857">
        <w:rPr>
          <w:rFonts w:ascii="Amasis MT Pro" w:hAnsi="Amasis MT Pro"/>
        </w:rPr>
        <w:t xml:space="preserve">. 52 </w:t>
      </w:r>
      <w:r w:rsidRPr="00792857">
        <w:rPr>
          <w:rFonts w:ascii="Times New Roman" w:hAnsi="Times New Roman" w:cs="Times New Roman"/>
        </w:rPr>
        <w:t>℅</w:t>
      </w:r>
      <w:r w:rsidRPr="00792857">
        <w:rPr>
          <w:rFonts w:ascii="Amasis MT Pro" w:hAnsi="Amasis MT Pro"/>
        </w:rPr>
        <w:t xml:space="preserve"> of patients developed complications related to corticosteroids (</w:t>
      </w:r>
      <w:proofErr w:type="spellStart"/>
      <w:r w:rsidRPr="00792857">
        <w:rPr>
          <w:rFonts w:ascii="Amasis MT Pro" w:hAnsi="Amasis MT Pro"/>
        </w:rPr>
        <w:t>staturo</w:t>
      </w:r>
      <w:proofErr w:type="spellEnd"/>
      <w:r w:rsidRPr="00792857">
        <w:rPr>
          <w:rFonts w:ascii="Amasis MT Pro" w:hAnsi="Amasis MT Pro"/>
        </w:rPr>
        <w:t xml:space="preserve">-ponderal delay in 66 </w:t>
      </w:r>
      <w:r w:rsidRPr="00792857">
        <w:rPr>
          <w:rFonts w:ascii="Times New Roman" w:hAnsi="Times New Roman" w:cs="Times New Roman"/>
        </w:rPr>
        <w:t>℅</w:t>
      </w:r>
      <w:r w:rsidRPr="00792857">
        <w:rPr>
          <w:rFonts w:ascii="Amasis MT Pro" w:hAnsi="Amasis MT Pro"/>
        </w:rPr>
        <w:t xml:space="preserve"> of cases). Methotrexate was received in 80</w:t>
      </w:r>
      <w:r w:rsidRPr="00792857">
        <w:rPr>
          <w:rFonts w:ascii="Times New Roman" w:hAnsi="Times New Roman" w:cs="Times New Roman"/>
        </w:rPr>
        <w:t>℅</w:t>
      </w:r>
      <w:r w:rsidRPr="00792857">
        <w:rPr>
          <w:rFonts w:ascii="Amasis MT Pro" w:hAnsi="Amasis MT Pro"/>
        </w:rPr>
        <w:t xml:space="preserve">, </w:t>
      </w:r>
      <w:proofErr w:type="spellStart"/>
      <w:r w:rsidRPr="00792857">
        <w:rPr>
          <w:rFonts w:ascii="Amasis MT Pro" w:hAnsi="Amasis MT Pro"/>
        </w:rPr>
        <w:t>salazopyrine</w:t>
      </w:r>
      <w:proofErr w:type="spellEnd"/>
      <w:r w:rsidRPr="00792857">
        <w:rPr>
          <w:rFonts w:ascii="Amasis MT Pro" w:hAnsi="Amasis MT Pro"/>
        </w:rPr>
        <w:t xml:space="preserve"> in 4 </w:t>
      </w:r>
      <w:r w:rsidRPr="00792857">
        <w:rPr>
          <w:rFonts w:ascii="Times New Roman" w:hAnsi="Times New Roman" w:cs="Times New Roman"/>
        </w:rPr>
        <w:t>℅</w:t>
      </w:r>
      <w:r w:rsidRPr="00792857">
        <w:rPr>
          <w:rFonts w:ascii="Amasis MT Pro" w:hAnsi="Amasis MT Pro"/>
        </w:rPr>
        <w:t xml:space="preserve"> of cases, a synthetic antimalarial in 4</w:t>
      </w:r>
      <w:r w:rsidRPr="00792857">
        <w:rPr>
          <w:rFonts w:ascii="Times New Roman" w:hAnsi="Times New Roman" w:cs="Times New Roman"/>
        </w:rPr>
        <w:t>℅</w:t>
      </w:r>
      <w:r w:rsidRPr="00792857">
        <w:rPr>
          <w:rFonts w:ascii="Amasis MT Pro" w:hAnsi="Amasis MT Pro"/>
        </w:rPr>
        <w:t>. Hip replacement was indicated in 3 patients.</w:t>
      </w:r>
    </w:p>
    <w:p w14:paraId="733572D0" w14:textId="34A205A1" w:rsidR="00792857" w:rsidRDefault="00792857">
      <w:pPr>
        <w:rPr>
          <w:rFonts w:ascii="Amasis MT Pro" w:hAnsi="Amasis MT Pro"/>
        </w:rPr>
      </w:pPr>
      <w:r w:rsidRPr="00792857">
        <w:rPr>
          <w:rFonts w:ascii="Amasis MT Pro" w:hAnsi="Amasis MT Pro"/>
        </w:rPr>
        <w:t>Conclusion: In our series, we found that delayed diagnosis and treatment explain the frequency of joint destruction. The use of biotherapy in JIA has significantly improved the prognosis.</w:t>
      </w:r>
    </w:p>
    <w:p w14:paraId="46BECC9A" w14:textId="20BC04FE" w:rsidR="00792857" w:rsidRDefault="00792857">
      <w:pPr>
        <w:rPr>
          <w:rFonts w:ascii="Amasis MT Pro" w:hAnsi="Amasis MT Pro"/>
        </w:rPr>
      </w:pPr>
    </w:p>
    <w:p w14:paraId="68183DF7" w14:textId="226042FE" w:rsidR="00792857" w:rsidRPr="00792857" w:rsidRDefault="00792857">
      <w:pPr>
        <w:rPr>
          <w:rFonts w:ascii="Amasis MT Pro" w:hAnsi="Amasis MT Pro"/>
        </w:rPr>
      </w:pPr>
      <w:r w:rsidRPr="003D2A3B">
        <w:rPr>
          <w:rFonts w:ascii="Amasis MT Pro" w:eastAsia="Calibri" w:hAnsi="Amasis MT Pro" w:cs="Times New Roman"/>
          <w:lang w:val="en-GB"/>
        </w:rPr>
        <w:drawing>
          <wp:anchor distT="0" distB="0" distL="114300" distR="114300" simplePos="0" relativeHeight="251661312" behindDoc="0" locked="0" layoutInCell="1" allowOverlap="1" wp14:anchorId="61F6C6D0" wp14:editId="533610C6">
            <wp:simplePos x="0" y="0"/>
            <wp:positionH relativeFrom="margin">
              <wp:posOffset>0</wp:posOffset>
            </wp:positionH>
            <wp:positionV relativeFrom="margin">
              <wp:posOffset>7705725</wp:posOffset>
            </wp:positionV>
            <wp:extent cx="5758180" cy="1073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563" t="3454" r="1491" b="7316"/>
                    <a:stretch/>
                  </pic:blipFill>
                  <pic:spPr bwMode="auto">
                    <a:xfrm>
                      <a:off x="0" y="0"/>
                      <a:ext cx="5758180" cy="1073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792857" w:rsidRPr="00792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masis MT Pro">
    <w:charset w:val="00"/>
    <w:family w:val="roman"/>
    <w:pitch w:val="variable"/>
    <w:sig w:usb0="A00000AF" w:usb1="4000205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57"/>
    <w:rsid w:val="002332F7"/>
    <w:rsid w:val="00792857"/>
    <w:rsid w:val="00DA6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5784"/>
  <w15:chartTrackingRefBased/>
  <w15:docId w15:val="{84ECE5FB-51EF-4D71-B772-ECFD092E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Abi Ghanem</dc:creator>
  <cp:keywords/>
  <dc:description/>
  <cp:lastModifiedBy>Yara Abi Ghanem</cp:lastModifiedBy>
  <cp:revision>2</cp:revision>
  <dcterms:created xsi:type="dcterms:W3CDTF">2025-04-17T17:16:00Z</dcterms:created>
  <dcterms:modified xsi:type="dcterms:W3CDTF">2025-04-17T17:21:00Z</dcterms:modified>
</cp:coreProperties>
</file>