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7A4" w14:textId="13D14A15" w:rsidR="0060255F" w:rsidRDefault="0060255F" w:rsidP="000F263D">
      <w:pPr>
        <w:pStyle w:val="NormalWeb"/>
        <w:rPr>
          <w:rStyle w:val="Strong"/>
          <w:rFonts w:asciiTheme="majorBidi" w:hAnsiTheme="majorBidi" w:cstheme="majorBidi"/>
        </w:rPr>
      </w:pPr>
      <w:r w:rsidRPr="00C07F43">
        <w:rPr>
          <w:rFonts w:ascii="Amasis MT Pro" w:eastAsia="Calibri" w:hAnsi="Amasis MT Pro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F13B2B6" wp14:editId="7483E03A">
            <wp:simplePos x="0" y="0"/>
            <wp:positionH relativeFrom="margin">
              <wp:align>left</wp:align>
            </wp:positionH>
            <wp:positionV relativeFrom="margin">
              <wp:posOffset>-411480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37B4BD" w14:textId="6CC204C4" w:rsidR="0060255F" w:rsidRPr="0060255F" w:rsidRDefault="0060255F" w:rsidP="000F263D">
      <w:pPr>
        <w:pStyle w:val="NormalWeb"/>
        <w:rPr>
          <w:rStyle w:val="Strong"/>
          <w:rFonts w:ascii="Amasis MT Pro" w:hAnsi="Amasis MT Pro" w:cstheme="majorBidi"/>
          <w:sz w:val="22"/>
          <w:szCs w:val="22"/>
        </w:rPr>
      </w:pPr>
      <w:r w:rsidRPr="0060255F">
        <w:rPr>
          <w:rStyle w:val="Strong"/>
          <w:rFonts w:ascii="Amasis MT Pro" w:hAnsi="Amasis MT Pro" w:cstheme="majorBidi"/>
          <w:sz w:val="22"/>
          <w:szCs w:val="22"/>
        </w:rPr>
        <w:t>6108</w:t>
      </w:r>
    </w:p>
    <w:p w14:paraId="1570EDBE" w14:textId="7DBFEEC3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Style w:val="Strong"/>
          <w:rFonts w:ascii="Amasis MT Pro" w:hAnsi="Amasis MT Pro" w:cstheme="majorBidi"/>
          <w:sz w:val="22"/>
          <w:szCs w:val="22"/>
        </w:rPr>
        <w:t>Introduction</w:t>
      </w:r>
    </w:p>
    <w:p w14:paraId="285D602D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proofErr w:type="spellStart"/>
      <w:r w:rsidRPr="0060255F">
        <w:rPr>
          <w:rFonts w:ascii="Amasis MT Pro" w:hAnsi="Amasis MT Pro" w:cstheme="majorBidi"/>
          <w:sz w:val="22"/>
          <w:szCs w:val="22"/>
        </w:rPr>
        <w:t>Breast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cancer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most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frequently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cancer in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around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20% of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those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being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under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age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50.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Compared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older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breast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cancer,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younger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survivors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face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higher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risk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cancer-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related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symptoms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and a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decline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in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their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quality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life (QOL). Younger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undergoing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treatment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for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breast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cancer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often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experience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more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treatment-related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symptoms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particularly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those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linked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menopausal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transition.</w:t>
      </w:r>
    </w:p>
    <w:p w14:paraId="213F6322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Style w:val="Strong"/>
          <w:rFonts w:ascii="Amasis MT Pro" w:hAnsi="Amasis MT Pro" w:cstheme="majorBidi"/>
          <w:sz w:val="22"/>
          <w:szCs w:val="22"/>
        </w:rPr>
        <w:t>Objective</w:t>
      </w:r>
    </w:p>
    <w:p w14:paraId="17CADF74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Fonts w:ascii="Amasis MT Pro" w:hAnsi="Amasis MT Pro" w:cstheme="majorBidi"/>
          <w:sz w:val="22"/>
          <w:szCs w:val="22"/>
        </w:rPr>
        <w:t xml:space="preserve">This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study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aims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identify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factors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associated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chemotherapy-induced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amenorrhea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(CRA) and explore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its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impact on long-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term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quality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life (QOL).</w:t>
      </w:r>
    </w:p>
    <w:p w14:paraId="5CEB1F49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Style w:val="Strong"/>
          <w:rFonts w:ascii="Amasis MT Pro" w:hAnsi="Amasis MT Pro" w:cstheme="majorBidi"/>
          <w:sz w:val="22"/>
          <w:szCs w:val="22"/>
        </w:rPr>
        <w:t>Materials and Methods</w:t>
      </w:r>
    </w:p>
    <w:p w14:paraId="431C0B8F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Fonts w:ascii="Amasis MT Pro" w:hAnsi="Amasis MT Pro" w:cstheme="majorBidi"/>
          <w:sz w:val="22"/>
          <w:szCs w:val="22"/>
        </w:rPr>
        <w:t xml:space="preserve">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study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included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stage I to III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breast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cancer,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collecting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data on an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annual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basis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following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. This report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focuses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on data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from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participants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enrolled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between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2020 and 2023,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outcomes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assessed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up to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three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years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after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. Participants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were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premenopausal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under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age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50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who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received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chemotherapy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but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not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undergo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adjuvant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ovarian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function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suppression. At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clinical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socioeconomic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tumor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and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treatment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characteristics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were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recorded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for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analysis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factors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contributing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CRA and persistent CRA,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which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linked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long-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term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QOL.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primary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outcome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interest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the occurrence of CRA at one (Y1),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two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(Y2), and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three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(Y3)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years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post-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. In the QOL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analysis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outcome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interest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QOL at Y3. Multivariable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random-effect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mixed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models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were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assess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the association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between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persistent CRA (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defined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as the absence of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menstrual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recovery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after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treatment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>) and QOL.</w:t>
      </w:r>
    </w:p>
    <w:p w14:paraId="25F45733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proofErr w:type="spellStart"/>
      <w:r w:rsidRPr="0060255F">
        <w:rPr>
          <w:rStyle w:val="Strong"/>
          <w:rFonts w:ascii="Amasis MT Pro" w:hAnsi="Amasis MT Pro" w:cstheme="majorBidi"/>
          <w:sz w:val="22"/>
          <w:szCs w:val="22"/>
        </w:rPr>
        <w:t>Results</w:t>
      </w:r>
      <w:proofErr w:type="spellEnd"/>
    </w:p>
    <w:p w14:paraId="29C208BC" w14:textId="36ACB168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Fonts w:ascii="Amasis MT Pro" w:hAnsi="Amasis MT Pro" w:cstheme="majorBidi"/>
          <w:sz w:val="22"/>
          <w:szCs w:val="22"/>
        </w:rPr>
        <w:t xml:space="preserve">The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study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included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61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mean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age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40.4 (SD 5.8)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years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diagnosis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. At Y1, 48 out of 61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(78.7%)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reported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CRA, and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this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decreased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35 of 48 (73%) at Y2 and 23 of 35 (65.7%) at Y3.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Older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age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adjusted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OR for ≥45 </w:t>
      </w:r>
      <w:proofErr w:type="spellStart"/>
      <w:proofErr w:type="gramStart"/>
      <w:r w:rsidRPr="0060255F">
        <w:rPr>
          <w:rFonts w:ascii="Amasis MT Pro" w:hAnsi="Amasis MT Pro" w:cstheme="majorBidi"/>
          <w:sz w:val="22"/>
          <w:szCs w:val="22"/>
        </w:rPr>
        <w:t>years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>:</w:t>
      </w:r>
      <w:proofErr w:type="gramEnd"/>
      <w:r w:rsidRPr="0060255F">
        <w:rPr>
          <w:rFonts w:ascii="Amasis MT Pro" w:hAnsi="Amasis MT Pro" w:cstheme="majorBidi"/>
          <w:sz w:val="22"/>
          <w:szCs w:val="22"/>
        </w:rPr>
        <w:t xml:space="preserve"> 21.29 [95% CI, 14.34 to 31.61]) and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undergoing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adjuvant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tamoxifen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adjusted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OR: 1.97 [95% CI, 1.53 to 2.53])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were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associated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CRA. In the QOL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analysis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30 out of 61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(49.1%)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had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persistent CRA.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However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among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aged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18 to 34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years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, 2 of 6 (33%)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who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had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no menses at Y2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reported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late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recovery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of menses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between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Y2 and Y3. Persistent CRA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also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found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to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be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associated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a </w:t>
      </w:r>
      <w:proofErr w:type="spellStart"/>
      <w:r w:rsidRPr="0060255F">
        <w:rPr>
          <w:rFonts w:ascii="Amasis MT Pro" w:hAnsi="Amasis MT Pro" w:cstheme="majorBidi"/>
          <w:sz w:val="22"/>
          <w:szCs w:val="22"/>
        </w:rPr>
        <w:t>higher</w:t>
      </w:r>
      <w:proofErr w:type="spellEnd"/>
      <w:r w:rsidRPr="0060255F">
        <w:rPr>
          <w:rFonts w:ascii="Amasis MT Pro" w:hAnsi="Amasis MT Pro" w:cstheme="majorBidi"/>
          <w:sz w:val="22"/>
          <w:szCs w:val="22"/>
        </w:rPr>
        <w:t xml:space="preserve"> BMI (p = 0.03).</w:t>
      </w:r>
    </w:p>
    <w:p w14:paraId="13D5D989" w14:textId="77777777" w:rsidR="000F263D" w:rsidRPr="0060255F" w:rsidRDefault="000F263D" w:rsidP="000F263D">
      <w:pPr>
        <w:pStyle w:val="NormalWeb"/>
        <w:rPr>
          <w:rFonts w:ascii="Amasis MT Pro" w:hAnsi="Amasis MT Pro" w:cstheme="majorBidi"/>
          <w:sz w:val="22"/>
          <w:szCs w:val="22"/>
        </w:rPr>
      </w:pPr>
      <w:r w:rsidRPr="0060255F">
        <w:rPr>
          <w:rStyle w:val="Strong"/>
          <w:rFonts w:ascii="Amasis MT Pro" w:hAnsi="Amasis MT Pro" w:cstheme="majorBidi"/>
          <w:sz w:val="22"/>
          <w:szCs w:val="22"/>
        </w:rPr>
        <w:t>Conclusions</w:t>
      </w:r>
    </w:p>
    <w:p w14:paraId="6BC0D17A" w14:textId="4A157358" w:rsidR="00EB683D" w:rsidRPr="0060255F" w:rsidRDefault="0060255F" w:rsidP="0060255F">
      <w:pPr>
        <w:pStyle w:val="NormalWeb"/>
        <w:rPr>
          <w:rFonts w:ascii="Amasis MT Pro" w:hAnsi="Amasis MT Pro" w:cstheme="majorBidi"/>
          <w:sz w:val="22"/>
          <w:szCs w:val="22"/>
        </w:rPr>
      </w:pPr>
      <w:r w:rsidRPr="003D2A3B">
        <w:rPr>
          <w:rFonts w:ascii="Amasis MT Pro" w:eastAsia="Calibri" w:hAnsi="Amasis MT Pro"/>
          <w:lang w:val="en-GB"/>
        </w:rPr>
        <w:drawing>
          <wp:anchor distT="0" distB="0" distL="114300" distR="114300" simplePos="0" relativeHeight="251661312" behindDoc="0" locked="0" layoutInCell="1" allowOverlap="1" wp14:anchorId="24C8C27B" wp14:editId="12C5D1FC">
            <wp:simplePos x="0" y="0"/>
            <wp:positionH relativeFrom="margin">
              <wp:align>left</wp:align>
            </wp:positionH>
            <wp:positionV relativeFrom="margin">
              <wp:posOffset>8632825</wp:posOffset>
            </wp:positionV>
            <wp:extent cx="59436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9436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63D" w:rsidRPr="0060255F">
        <w:rPr>
          <w:rFonts w:ascii="Amasis MT Pro" w:hAnsi="Amasis MT Pro" w:cstheme="majorBidi"/>
          <w:sz w:val="22"/>
          <w:szCs w:val="22"/>
        </w:rPr>
        <w:t xml:space="preserve">This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cohort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study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of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premenopausal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Algérian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breast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cancer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found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that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persistent CRA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common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,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though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some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women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experienced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late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recovery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of menses. Persistent CRA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was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associated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with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poorer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long-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term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QOL.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These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findings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can guide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risk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communication,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personalized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counseling, and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early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referrals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for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supportive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care in </w:t>
      </w:r>
      <w:proofErr w:type="spellStart"/>
      <w:r w:rsidR="000F263D" w:rsidRPr="0060255F">
        <w:rPr>
          <w:rFonts w:ascii="Amasis MT Pro" w:hAnsi="Amasis MT Pro" w:cstheme="majorBidi"/>
          <w:sz w:val="22"/>
          <w:szCs w:val="22"/>
        </w:rPr>
        <w:t>this</w:t>
      </w:r>
      <w:proofErr w:type="spellEnd"/>
      <w:r w:rsidR="000F263D" w:rsidRPr="0060255F">
        <w:rPr>
          <w:rFonts w:ascii="Amasis MT Pro" w:hAnsi="Amasis MT Pro" w:cstheme="majorBidi"/>
          <w:sz w:val="22"/>
          <w:szCs w:val="22"/>
        </w:rPr>
        <w:t xml:space="preserve"> group.</w:t>
      </w:r>
    </w:p>
    <w:sectPr w:rsidR="00EB683D" w:rsidRPr="0060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5"/>
    <w:rsid w:val="000F263D"/>
    <w:rsid w:val="00171A15"/>
    <w:rsid w:val="0060255F"/>
    <w:rsid w:val="009B7E2A"/>
    <w:rsid w:val="00A3045B"/>
    <w:rsid w:val="00EB683D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50AC"/>
  <w15:chartTrackingRefBased/>
  <w15:docId w15:val="{8C79D14D-B94D-43B3-8BC8-A5E22C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171A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Yara Abi Ghanem</cp:lastModifiedBy>
  <cp:revision>2</cp:revision>
  <dcterms:created xsi:type="dcterms:W3CDTF">2025-04-18T09:52:00Z</dcterms:created>
  <dcterms:modified xsi:type="dcterms:W3CDTF">2025-04-18T09:52:00Z</dcterms:modified>
</cp:coreProperties>
</file>